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1A432" w14:textId="1EF89BB6" w:rsidR="00B50EC3" w:rsidRPr="007D1269" w:rsidRDefault="00B50EC3" w:rsidP="007D1269">
      <w:pPr>
        <w:spacing w:after="113" w:line="276" w:lineRule="auto"/>
        <w:jc w:val="center"/>
        <w:rPr>
          <w:rFonts w:ascii="Arial" w:eastAsia="Arial" w:hAnsi="Arial" w:cs="Arial"/>
          <w:b/>
          <w:bCs/>
          <w:sz w:val="24"/>
          <w:szCs w:val="24"/>
          <w:lang w:val="en-US"/>
        </w:rPr>
      </w:pPr>
      <w:r w:rsidRPr="007D1269">
        <w:rPr>
          <w:rFonts w:ascii="Arial" w:eastAsia="Arial" w:hAnsi="Arial" w:cs="Arial"/>
          <w:b/>
          <w:bCs/>
          <w:sz w:val="24"/>
          <w:szCs w:val="24"/>
          <w:lang w:val="en-US"/>
        </w:rPr>
        <w:t>Criteria for evaluating the organization of credit technology education based on the general principles of the Academic Integrity</w:t>
      </w:r>
      <w:r w:rsidR="007D1269" w:rsidRPr="007D1269">
        <w:rPr>
          <w:rFonts w:ascii="Arial" w:eastAsia="Arial" w:hAnsi="Arial" w:cs="Arial"/>
          <w:b/>
          <w:bCs/>
          <w:sz w:val="24"/>
          <w:szCs w:val="24"/>
          <w:lang w:val="en-US"/>
        </w:rPr>
        <w:t xml:space="preserve"> League</w:t>
      </w:r>
    </w:p>
    <w:p w14:paraId="28216DDF" w14:textId="57E7EFB2" w:rsidR="00B50EC3" w:rsidRPr="00B50EC3" w:rsidRDefault="00B50EC3" w:rsidP="005E3F72">
      <w:pPr>
        <w:spacing w:after="113" w:line="276" w:lineRule="auto"/>
        <w:ind w:firstLine="708"/>
        <w:jc w:val="both"/>
        <w:rPr>
          <w:rFonts w:ascii="Arial" w:eastAsia="Arial" w:hAnsi="Arial" w:cs="Arial"/>
          <w:sz w:val="24"/>
          <w:szCs w:val="24"/>
          <w:lang w:val="en-US"/>
        </w:rPr>
      </w:pPr>
      <w:r w:rsidRPr="00B50EC3">
        <w:rPr>
          <w:rFonts w:ascii="Arial" w:eastAsia="Arial" w:hAnsi="Arial" w:cs="Arial"/>
          <w:sz w:val="24"/>
          <w:szCs w:val="24"/>
          <w:lang w:val="en-US"/>
        </w:rPr>
        <w:t xml:space="preserve">This document aims to improve the standards of credit technology </w:t>
      </w:r>
      <w:r w:rsidR="007D1269">
        <w:rPr>
          <w:rFonts w:ascii="Arial" w:eastAsia="Arial" w:hAnsi="Arial" w:cs="Arial"/>
          <w:sz w:val="24"/>
          <w:szCs w:val="24"/>
          <w:lang w:val="en-US"/>
        </w:rPr>
        <w:t>of education</w:t>
      </w:r>
      <w:r w:rsidRPr="00B50EC3">
        <w:rPr>
          <w:rFonts w:ascii="Arial" w:eastAsia="Arial" w:hAnsi="Arial" w:cs="Arial"/>
          <w:sz w:val="24"/>
          <w:szCs w:val="24"/>
          <w:lang w:val="en-US"/>
        </w:rPr>
        <w:t xml:space="preserve"> in accordance with the ESG-2015 </w:t>
      </w:r>
      <w:r w:rsidR="007D1269" w:rsidRPr="00B50EC3">
        <w:rPr>
          <w:rFonts w:ascii="Arial" w:eastAsia="Arial" w:hAnsi="Arial" w:cs="Arial"/>
          <w:sz w:val="24"/>
          <w:szCs w:val="24"/>
          <w:lang w:val="en-US"/>
        </w:rPr>
        <w:t>standards and</w:t>
      </w:r>
      <w:r w:rsidRPr="00B50EC3">
        <w:rPr>
          <w:rFonts w:ascii="Arial" w:eastAsia="Arial" w:hAnsi="Arial" w:cs="Arial"/>
          <w:sz w:val="24"/>
          <w:szCs w:val="24"/>
          <w:lang w:val="en-US"/>
        </w:rPr>
        <w:t xml:space="preserve"> aims to understand the extent to which the </w:t>
      </w:r>
      <w:r w:rsidR="007D1269">
        <w:rPr>
          <w:rFonts w:ascii="Arial" w:eastAsia="Arial" w:hAnsi="Arial" w:cs="Arial"/>
          <w:sz w:val="24"/>
          <w:szCs w:val="24"/>
          <w:lang w:val="en-US"/>
        </w:rPr>
        <w:t>HPEI</w:t>
      </w:r>
      <w:r w:rsidRPr="00B50EC3">
        <w:rPr>
          <w:rFonts w:ascii="Arial" w:eastAsia="Arial" w:hAnsi="Arial" w:cs="Arial"/>
          <w:sz w:val="24"/>
          <w:szCs w:val="24"/>
          <w:lang w:val="en-US"/>
        </w:rPr>
        <w:t xml:space="preserve">s meet the standards of credit technology applied to </w:t>
      </w:r>
      <w:r w:rsidR="00871829">
        <w:rPr>
          <w:rFonts w:ascii="Arial" w:eastAsia="Arial" w:hAnsi="Arial" w:cs="Arial"/>
          <w:sz w:val="24"/>
          <w:szCs w:val="24"/>
          <w:lang w:val="en-US"/>
        </w:rPr>
        <w:t xml:space="preserve">the </w:t>
      </w:r>
      <w:r w:rsidRPr="00B50EC3">
        <w:rPr>
          <w:rFonts w:ascii="Arial" w:eastAsia="Arial" w:hAnsi="Arial" w:cs="Arial"/>
          <w:sz w:val="24"/>
          <w:szCs w:val="24"/>
          <w:lang w:val="en-US"/>
        </w:rPr>
        <w:t xml:space="preserve">League members. Adherence to credit technology through the creation of a transparent, individualized approach to learning for each student is a priority for League members. </w:t>
      </w:r>
      <w:r w:rsidR="00871829">
        <w:rPr>
          <w:rFonts w:ascii="Arial" w:eastAsia="Arial" w:hAnsi="Arial" w:cs="Arial"/>
          <w:sz w:val="24"/>
          <w:szCs w:val="24"/>
          <w:lang w:val="en-US"/>
        </w:rPr>
        <w:t>Meeting</w:t>
      </w:r>
      <w:r w:rsidRPr="00B50EC3">
        <w:rPr>
          <w:rFonts w:ascii="Arial" w:eastAsia="Arial" w:hAnsi="Arial" w:cs="Arial"/>
          <w:sz w:val="24"/>
          <w:szCs w:val="24"/>
          <w:lang w:val="en-US"/>
        </w:rPr>
        <w:t xml:space="preserve"> these criteria, as well as the presence in the organization of higher and/or postgraduate education (hereinafter - HPE</w:t>
      </w:r>
      <w:r w:rsidR="007D1269">
        <w:rPr>
          <w:rFonts w:ascii="Arial" w:eastAsia="Arial" w:hAnsi="Arial" w:cs="Arial"/>
          <w:sz w:val="24"/>
          <w:szCs w:val="24"/>
          <w:lang w:val="en-US"/>
        </w:rPr>
        <w:t>I</w:t>
      </w:r>
      <w:r w:rsidRPr="00B50EC3">
        <w:rPr>
          <w:rFonts w:ascii="Arial" w:eastAsia="Arial" w:hAnsi="Arial" w:cs="Arial"/>
          <w:sz w:val="24"/>
          <w:szCs w:val="24"/>
          <w:lang w:val="en-US"/>
        </w:rPr>
        <w:t>)</w:t>
      </w:r>
      <w:r w:rsidR="007D1269">
        <w:rPr>
          <w:rFonts w:ascii="Arial" w:eastAsia="Arial" w:hAnsi="Arial" w:cs="Arial"/>
          <w:sz w:val="24"/>
          <w:szCs w:val="24"/>
          <w:lang w:val="en-US"/>
        </w:rPr>
        <w:t xml:space="preserve"> of</w:t>
      </w:r>
      <w:r w:rsidRPr="00B50EC3">
        <w:rPr>
          <w:rFonts w:ascii="Arial" w:eastAsia="Arial" w:hAnsi="Arial" w:cs="Arial"/>
          <w:sz w:val="24"/>
          <w:szCs w:val="24"/>
          <w:lang w:val="en-US"/>
        </w:rPr>
        <w:t xml:space="preserve"> prescribed procedures for compliance with these criteria is an important practice for the League members.</w:t>
      </w:r>
    </w:p>
    <w:p w14:paraId="7E57D3A9" w14:textId="2580C7E6" w:rsidR="00B50EC3" w:rsidRPr="00B50EC3" w:rsidRDefault="00B50EC3" w:rsidP="00B50EC3">
      <w:pPr>
        <w:spacing w:after="113" w:line="276" w:lineRule="auto"/>
        <w:jc w:val="both"/>
        <w:rPr>
          <w:rFonts w:ascii="Arial" w:eastAsia="Arial" w:hAnsi="Arial" w:cs="Arial"/>
          <w:sz w:val="24"/>
          <w:szCs w:val="24"/>
          <w:lang w:val="en-US"/>
        </w:rPr>
      </w:pPr>
      <w:r w:rsidRPr="00B50EC3">
        <w:rPr>
          <w:rFonts w:ascii="Arial" w:eastAsia="Arial" w:hAnsi="Arial" w:cs="Arial"/>
          <w:sz w:val="24"/>
          <w:szCs w:val="24"/>
          <w:lang w:val="en-US"/>
        </w:rPr>
        <w:t xml:space="preserve">** The criteria were developed by the Academic Integrity League Working Group based on the experience of higher education institutions and reputable universities (see </w:t>
      </w:r>
      <w:r w:rsidRPr="007D1269">
        <w:rPr>
          <w:rFonts w:ascii="Arial" w:eastAsia="Arial" w:hAnsi="Arial" w:cs="Arial"/>
          <w:i/>
          <w:iCs/>
          <w:sz w:val="24"/>
          <w:szCs w:val="24"/>
          <w:lang w:val="en-US"/>
        </w:rPr>
        <w:t>bibliography</w:t>
      </w:r>
      <w:r w:rsidRPr="00B50EC3">
        <w:rPr>
          <w:rFonts w:ascii="Arial" w:eastAsia="Arial" w:hAnsi="Arial" w:cs="Arial"/>
          <w:sz w:val="24"/>
          <w:szCs w:val="24"/>
          <w:lang w:val="en-US"/>
        </w:rPr>
        <w:t>).</w:t>
      </w:r>
    </w:p>
    <w:p w14:paraId="58CB54BE" w14:textId="77777777" w:rsidR="00655C4E" w:rsidRDefault="00655C4E" w:rsidP="00655C4E">
      <w:pPr>
        <w:pBdr>
          <w:top w:val="nil"/>
          <w:left w:val="nil"/>
          <w:bottom w:val="nil"/>
          <w:right w:val="nil"/>
          <w:between w:val="nil"/>
        </w:pBdr>
        <w:spacing w:after="113" w:line="276" w:lineRule="auto"/>
        <w:jc w:val="center"/>
        <w:rPr>
          <w:rFonts w:ascii="Arial" w:eastAsia="Arial" w:hAnsi="Arial" w:cs="Arial"/>
          <w:sz w:val="24"/>
          <w:szCs w:val="24"/>
          <w:lang w:val="en-US"/>
        </w:rPr>
      </w:pPr>
    </w:p>
    <w:p w14:paraId="29EB4452" w14:textId="08D46FA2" w:rsidR="00655C4E" w:rsidRPr="00655C4E" w:rsidRDefault="00655C4E" w:rsidP="00655C4E">
      <w:pPr>
        <w:pBdr>
          <w:top w:val="nil"/>
          <w:left w:val="nil"/>
          <w:bottom w:val="nil"/>
          <w:right w:val="nil"/>
          <w:between w:val="nil"/>
        </w:pBdr>
        <w:spacing w:after="113" w:line="276" w:lineRule="auto"/>
        <w:jc w:val="center"/>
        <w:rPr>
          <w:rFonts w:ascii="Arial" w:hAnsi="Arial" w:cs="Arial"/>
          <w:b/>
          <w:bCs/>
          <w:sz w:val="24"/>
          <w:szCs w:val="24"/>
          <w:lang w:val="en-US"/>
        </w:rPr>
      </w:pPr>
      <w:r w:rsidRPr="00655C4E">
        <w:rPr>
          <w:rFonts w:ascii="Arial" w:hAnsi="Arial" w:cs="Arial"/>
          <w:b/>
          <w:bCs/>
          <w:sz w:val="24"/>
          <w:szCs w:val="24"/>
          <w:lang w:val="en-US"/>
        </w:rPr>
        <w:t>Main provisions</w:t>
      </w:r>
    </w:p>
    <w:p w14:paraId="41A8B550" w14:textId="2E257778" w:rsidR="00655C4E" w:rsidRPr="00655C4E" w:rsidRDefault="00655C4E" w:rsidP="00655C4E">
      <w:pPr>
        <w:pStyle w:val="a3"/>
        <w:numPr>
          <w:ilvl w:val="0"/>
          <w:numId w:val="13"/>
        </w:numPr>
        <w:pBdr>
          <w:top w:val="nil"/>
          <w:left w:val="nil"/>
          <w:bottom w:val="nil"/>
          <w:right w:val="nil"/>
          <w:between w:val="nil"/>
        </w:pBdr>
        <w:spacing w:after="113" w:line="276" w:lineRule="auto"/>
        <w:jc w:val="both"/>
        <w:rPr>
          <w:rFonts w:ascii="Arial" w:hAnsi="Arial" w:cs="Arial"/>
          <w:sz w:val="24"/>
          <w:szCs w:val="24"/>
          <w:lang w:val="en-US"/>
        </w:rPr>
      </w:pPr>
      <w:r>
        <w:rPr>
          <w:rFonts w:ascii="Arial" w:hAnsi="Arial" w:cs="Arial"/>
          <w:sz w:val="24"/>
          <w:szCs w:val="24"/>
          <w:lang w:val="en-US"/>
        </w:rPr>
        <w:t>The HPEI</w:t>
      </w:r>
      <w:r w:rsidRPr="00655C4E">
        <w:rPr>
          <w:rFonts w:ascii="Arial" w:hAnsi="Arial" w:cs="Arial"/>
          <w:sz w:val="24"/>
          <w:szCs w:val="24"/>
          <w:lang w:val="en-US"/>
        </w:rPr>
        <w:t xml:space="preserve"> follow</w:t>
      </w:r>
      <w:r>
        <w:rPr>
          <w:rFonts w:ascii="Arial" w:hAnsi="Arial" w:cs="Arial"/>
          <w:sz w:val="24"/>
          <w:szCs w:val="24"/>
          <w:lang w:val="en-US"/>
        </w:rPr>
        <w:t xml:space="preserve">s </w:t>
      </w:r>
      <w:r w:rsidRPr="00655C4E">
        <w:rPr>
          <w:rFonts w:ascii="Arial" w:hAnsi="Arial" w:cs="Arial"/>
          <w:sz w:val="24"/>
          <w:szCs w:val="24"/>
          <w:lang w:val="en-US"/>
        </w:rPr>
        <w:t xml:space="preserve">the principle of introducing full credit technology and all its elements to unlock the individual possibilities of </w:t>
      </w:r>
      <w:r>
        <w:rPr>
          <w:rFonts w:ascii="Arial" w:hAnsi="Arial" w:cs="Arial"/>
          <w:sz w:val="24"/>
          <w:szCs w:val="24"/>
          <w:lang w:val="en-US"/>
        </w:rPr>
        <w:t>a</w:t>
      </w:r>
      <w:r w:rsidRPr="00655C4E">
        <w:rPr>
          <w:rFonts w:ascii="Arial" w:hAnsi="Arial" w:cs="Arial"/>
          <w:sz w:val="24"/>
          <w:szCs w:val="24"/>
          <w:lang w:val="en-US"/>
        </w:rPr>
        <w:t xml:space="preserve"> student in order to obtain and improve the individual trajectory of learning.</w:t>
      </w:r>
    </w:p>
    <w:p w14:paraId="00408865" w14:textId="177EDF15" w:rsidR="00655C4E" w:rsidRPr="00655C4E" w:rsidRDefault="00655C4E" w:rsidP="00655C4E">
      <w:pPr>
        <w:pStyle w:val="a3"/>
        <w:numPr>
          <w:ilvl w:val="0"/>
          <w:numId w:val="13"/>
        </w:numPr>
        <w:pBdr>
          <w:top w:val="nil"/>
          <w:left w:val="nil"/>
          <w:bottom w:val="nil"/>
          <w:right w:val="nil"/>
          <w:between w:val="nil"/>
        </w:pBdr>
        <w:spacing w:after="113" w:line="276" w:lineRule="auto"/>
        <w:jc w:val="both"/>
        <w:rPr>
          <w:rFonts w:ascii="Arial" w:hAnsi="Arial" w:cs="Arial"/>
          <w:sz w:val="24"/>
          <w:szCs w:val="24"/>
          <w:lang w:val="en-US"/>
        </w:rPr>
      </w:pPr>
      <w:r>
        <w:rPr>
          <w:rFonts w:ascii="Arial" w:hAnsi="Arial" w:cs="Arial"/>
          <w:sz w:val="24"/>
          <w:szCs w:val="24"/>
          <w:lang w:val="en-US"/>
        </w:rPr>
        <w:t>The HPEI</w:t>
      </w:r>
      <w:r w:rsidRPr="00655C4E">
        <w:rPr>
          <w:rFonts w:ascii="Arial" w:hAnsi="Arial" w:cs="Arial"/>
          <w:sz w:val="24"/>
          <w:szCs w:val="24"/>
          <w:lang w:val="en-US"/>
        </w:rPr>
        <w:t xml:space="preserve"> follows high academic standards to support and educate </w:t>
      </w:r>
      <w:r>
        <w:rPr>
          <w:rFonts w:ascii="Arial" w:hAnsi="Arial" w:cs="Arial"/>
          <w:sz w:val="24"/>
          <w:szCs w:val="24"/>
          <w:lang w:val="en-US"/>
        </w:rPr>
        <w:t>a</w:t>
      </w:r>
      <w:r w:rsidRPr="00655C4E">
        <w:rPr>
          <w:rFonts w:ascii="Arial" w:hAnsi="Arial" w:cs="Arial"/>
          <w:sz w:val="24"/>
          <w:szCs w:val="24"/>
          <w:lang w:val="en-US"/>
        </w:rPr>
        <w:t xml:space="preserve"> student within the framework of the chosen individual trajectory.</w:t>
      </w:r>
    </w:p>
    <w:p w14:paraId="59CD8319" w14:textId="7B0892AA" w:rsidR="00655C4E" w:rsidRPr="00655C4E" w:rsidRDefault="00655C4E" w:rsidP="00655C4E">
      <w:pPr>
        <w:pStyle w:val="a3"/>
        <w:numPr>
          <w:ilvl w:val="0"/>
          <w:numId w:val="13"/>
        </w:numPr>
        <w:pBdr>
          <w:top w:val="nil"/>
          <w:left w:val="nil"/>
          <w:bottom w:val="nil"/>
          <w:right w:val="nil"/>
          <w:between w:val="nil"/>
        </w:pBdr>
        <w:spacing w:after="113" w:line="276" w:lineRule="auto"/>
        <w:jc w:val="both"/>
        <w:rPr>
          <w:rFonts w:ascii="Arial" w:hAnsi="Arial" w:cs="Arial"/>
          <w:sz w:val="24"/>
          <w:szCs w:val="24"/>
          <w:lang w:val="en-US"/>
        </w:rPr>
      </w:pPr>
      <w:r>
        <w:rPr>
          <w:rFonts w:ascii="Arial" w:hAnsi="Arial" w:cs="Arial"/>
          <w:sz w:val="24"/>
          <w:szCs w:val="24"/>
          <w:lang w:val="en-US"/>
        </w:rPr>
        <w:t>I</w:t>
      </w:r>
      <w:r w:rsidRPr="00655C4E">
        <w:rPr>
          <w:rFonts w:ascii="Arial" w:hAnsi="Arial" w:cs="Arial"/>
          <w:sz w:val="24"/>
          <w:szCs w:val="24"/>
          <w:lang w:val="en-US"/>
        </w:rPr>
        <w:t xml:space="preserve">t is the right of the </w:t>
      </w:r>
      <w:r>
        <w:rPr>
          <w:rFonts w:ascii="Arial" w:hAnsi="Arial" w:cs="Arial"/>
          <w:sz w:val="24"/>
          <w:szCs w:val="24"/>
          <w:lang w:val="en-US"/>
        </w:rPr>
        <w:t>HPEI</w:t>
      </w:r>
      <w:r w:rsidRPr="00655C4E">
        <w:rPr>
          <w:rFonts w:ascii="Arial" w:hAnsi="Arial" w:cs="Arial"/>
          <w:sz w:val="24"/>
          <w:szCs w:val="24"/>
          <w:lang w:val="en-US"/>
        </w:rPr>
        <w:t xml:space="preserve"> to choose the details and mechanisms of achieving and following the main provisions and criteria of evaluation.</w:t>
      </w:r>
    </w:p>
    <w:p w14:paraId="64C1B534" w14:textId="77777777" w:rsidR="00037213" w:rsidRPr="00655C4E" w:rsidRDefault="00037213" w:rsidP="00037213">
      <w:pPr>
        <w:spacing w:after="113" w:line="276" w:lineRule="auto"/>
        <w:jc w:val="center"/>
        <w:rPr>
          <w:rFonts w:ascii="Arial" w:eastAsia="Arial" w:hAnsi="Arial" w:cs="Arial"/>
          <w:b/>
          <w:sz w:val="24"/>
          <w:szCs w:val="24"/>
          <w:lang w:val="en-US"/>
        </w:rPr>
      </w:pPr>
    </w:p>
    <w:p w14:paraId="765189D8" w14:textId="22E909C2" w:rsidR="00037213" w:rsidRPr="00037213" w:rsidRDefault="00655C4E" w:rsidP="00037213">
      <w:pPr>
        <w:spacing w:after="113" w:line="276" w:lineRule="auto"/>
        <w:jc w:val="center"/>
        <w:rPr>
          <w:rFonts w:ascii="Arial" w:hAnsi="Arial" w:cs="Arial"/>
          <w:sz w:val="24"/>
          <w:szCs w:val="24"/>
        </w:rPr>
      </w:pPr>
      <w:r>
        <w:rPr>
          <w:rFonts w:ascii="Arial" w:eastAsia="Arial" w:hAnsi="Arial" w:cs="Arial"/>
          <w:b/>
          <w:sz w:val="24"/>
          <w:szCs w:val="24"/>
          <w:lang w:val="en-US"/>
        </w:rPr>
        <w:t>Criteria</w:t>
      </w:r>
      <w:r w:rsidR="00037213" w:rsidRPr="00037213">
        <w:rPr>
          <w:rFonts w:ascii="Arial" w:eastAsia="Arial" w:hAnsi="Arial" w:cs="Arial"/>
          <w:b/>
          <w:sz w:val="24"/>
          <w:szCs w:val="24"/>
        </w:rPr>
        <w:t>:</w:t>
      </w:r>
    </w:p>
    <w:p w14:paraId="31220A46" w14:textId="256C6CB9" w:rsidR="00037213" w:rsidRPr="009A7DAE" w:rsidRDefault="009A7DAE" w:rsidP="00037213">
      <w:pPr>
        <w:numPr>
          <w:ilvl w:val="0"/>
          <w:numId w:val="11"/>
        </w:numPr>
        <w:spacing w:after="113" w:line="276" w:lineRule="auto"/>
        <w:ind w:left="426"/>
        <w:jc w:val="both"/>
        <w:rPr>
          <w:rFonts w:ascii="Arial" w:hAnsi="Arial" w:cs="Arial"/>
          <w:sz w:val="24"/>
          <w:szCs w:val="24"/>
          <w:lang w:val="en-US"/>
        </w:rPr>
      </w:pPr>
      <w:r w:rsidRPr="009A7DAE">
        <w:rPr>
          <w:rFonts w:ascii="Arial" w:eastAsia="Arial" w:hAnsi="Arial" w:cs="Arial"/>
          <w:b/>
          <w:bCs/>
          <w:sz w:val="24"/>
          <w:szCs w:val="24"/>
          <w:lang w:val="en-US"/>
        </w:rPr>
        <w:t>Student-centered learning</w:t>
      </w:r>
      <w:r w:rsidRPr="009A7DAE">
        <w:rPr>
          <w:rFonts w:ascii="Arial" w:eastAsia="Arial" w:hAnsi="Arial" w:cs="Arial"/>
          <w:sz w:val="24"/>
          <w:szCs w:val="24"/>
          <w:lang w:val="en-US"/>
        </w:rPr>
        <w:t xml:space="preserve"> - the degree of student involvement in the academic process at all stages: introducing and selecting a course, registering, reading and signing the syllabus, disagreeing and withdrawing from a course, discussing with students the outcome of the assessment and the criteria for its conclusion, the student's understanding of the expected course outcomes and forms of control, and the extent to which the student has achieved the expected outcomes.</w:t>
      </w:r>
    </w:p>
    <w:p w14:paraId="01F0DB00" w14:textId="3C821218" w:rsidR="00037213" w:rsidRPr="009A7DAE" w:rsidRDefault="009A7DAE" w:rsidP="00037213">
      <w:pPr>
        <w:numPr>
          <w:ilvl w:val="0"/>
          <w:numId w:val="2"/>
        </w:numPr>
        <w:pBdr>
          <w:top w:val="nil"/>
          <w:left w:val="nil"/>
          <w:bottom w:val="nil"/>
          <w:right w:val="nil"/>
          <w:between w:val="nil"/>
        </w:pBdr>
        <w:spacing w:after="0" w:line="276" w:lineRule="auto"/>
        <w:ind w:left="851"/>
        <w:jc w:val="both"/>
        <w:rPr>
          <w:rFonts w:ascii="Arial" w:hAnsi="Arial" w:cs="Arial"/>
          <w:sz w:val="24"/>
          <w:szCs w:val="24"/>
          <w:lang w:val="en-US"/>
        </w:rPr>
      </w:pPr>
      <w:r w:rsidRPr="009A7DAE">
        <w:rPr>
          <w:rFonts w:ascii="Arial" w:eastAsia="Arial" w:hAnsi="Arial" w:cs="Arial"/>
          <w:sz w:val="24"/>
          <w:szCs w:val="24"/>
          <w:lang w:val="en-US"/>
        </w:rPr>
        <w:t xml:space="preserve">Procedure for free personal registration of </w:t>
      </w:r>
      <w:r w:rsidR="00871829">
        <w:rPr>
          <w:rFonts w:ascii="Arial" w:eastAsia="Arial" w:hAnsi="Arial" w:cs="Arial"/>
          <w:sz w:val="24"/>
          <w:szCs w:val="24"/>
          <w:lang w:val="en-US"/>
        </w:rPr>
        <w:t>the</w:t>
      </w:r>
      <w:r w:rsidRPr="009A7DAE">
        <w:rPr>
          <w:rFonts w:ascii="Arial" w:eastAsia="Arial" w:hAnsi="Arial" w:cs="Arial"/>
          <w:sz w:val="24"/>
          <w:szCs w:val="24"/>
          <w:lang w:val="en-US"/>
        </w:rPr>
        <w:t xml:space="preserve"> student with an opportunity for a brief review of the course while meeting the GPA requirements for course completion.</w:t>
      </w:r>
    </w:p>
    <w:p w14:paraId="100E51FD" w14:textId="0C36848C" w:rsidR="00037213" w:rsidRPr="009A7DAE" w:rsidRDefault="009A7DAE" w:rsidP="00037213">
      <w:pPr>
        <w:numPr>
          <w:ilvl w:val="0"/>
          <w:numId w:val="2"/>
        </w:numPr>
        <w:pBdr>
          <w:top w:val="nil"/>
          <w:left w:val="nil"/>
          <w:bottom w:val="nil"/>
          <w:right w:val="nil"/>
          <w:between w:val="nil"/>
        </w:pBdr>
        <w:spacing w:after="0" w:line="276" w:lineRule="auto"/>
        <w:ind w:left="851"/>
        <w:jc w:val="both"/>
        <w:rPr>
          <w:rFonts w:ascii="Arial" w:hAnsi="Arial" w:cs="Arial"/>
          <w:sz w:val="24"/>
          <w:szCs w:val="24"/>
          <w:lang w:val="en-US"/>
        </w:rPr>
      </w:pPr>
      <w:r w:rsidRPr="009A7DAE">
        <w:rPr>
          <w:rFonts w:ascii="Arial" w:eastAsia="Arial" w:hAnsi="Arial" w:cs="Arial"/>
          <w:sz w:val="24"/>
          <w:szCs w:val="24"/>
          <w:lang w:val="en-US"/>
        </w:rPr>
        <w:t xml:space="preserve">Procedure for free choice of instructor and class schedule by </w:t>
      </w:r>
      <w:r w:rsidR="009356A9">
        <w:rPr>
          <w:rFonts w:ascii="Arial" w:eastAsia="Arial" w:hAnsi="Arial" w:cs="Arial"/>
          <w:sz w:val="24"/>
          <w:szCs w:val="24"/>
          <w:lang w:val="en-US"/>
        </w:rPr>
        <w:t>the</w:t>
      </w:r>
      <w:r w:rsidRPr="009A7DAE">
        <w:rPr>
          <w:rFonts w:ascii="Arial" w:eastAsia="Arial" w:hAnsi="Arial" w:cs="Arial"/>
          <w:sz w:val="24"/>
          <w:szCs w:val="24"/>
          <w:lang w:val="en-US"/>
        </w:rPr>
        <w:t xml:space="preserve"> student, subject to the availability of openings for the course.</w:t>
      </w:r>
    </w:p>
    <w:p w14:paraId="106C193A" w14:textId="00FD7007" w:rsidR="00037213" w:rsidRPr="009A7DAE" w:rsidRDefault="009A7DAE" w:rsidP="00037213">
      <w:pPr>
        <w:numPr>
          <w:ilvl w:val="0"/>
          <w:numId w:val="2"/>
        </w:numPr>
        <w:pBdr>
          <w:top w:val="nil"/>
          <w:left w:val="nil"/>
          <w:bottom w:val="nil"/>
          <w:right w:val="nil"/>
          <w:between w:val="nil"/>
        </w:pBdr>
        <w:spacing w:after="0" w:line="276" w:lineRule="auto"/>
        <w:ind w:left="851"/>
        <w:jc w:val="both"/>
        <w:rPr>
          <w:rFonts w:ascii="Arial" w:hAnsi="Arial" w:cs="Arial"/>
          <w:sz w:val="24"/>
          <w:szCs w:val="24"/>
          <w:lang w:val="en-US"/>
        </w:rPr>
      </w:pPr>
      <w:r w:rsidRPr="009A7DAE">
        <w:rPr>
          <w:rFonts w:ascii="Arial" w:eastAsia="Arial" w:hAnsi="Arial" w:cs="Arial"/>
          <w:sz w:val="24"/>
          <w:szCs w:val="24"/>
          <w:lang w:val="en-US"/>
        </w:rPr>
        <w:lastRenderedPageBreak/>
        <w:t xml:space="preserve">Procedures for reviewing the </w:t>
      </w:r>
      <w:r>
        <w:rPr>
          <w:rFonts w:ascii="Arial" w:eastAsia="Arial" w:hAnsi="Arial" w:cs="Arial"/>
          <w:sz w:val="24"/>
          <w:szCs w:val="24"/>
          <w:lang w:val="en-US"/>
        </w:rPr>
        <w:t>course</w:t>
      </w:r>
      <w:r w:rsidRPr="009A7DAE">
        <w:rPr>
          <w:rFonts w:ascii="Arial" w:eastAsia="Arial" w:hAnsi="Arial" w:cs="Arial"/>
          <w:sz w:val="24"/>
          <w:szCs w:val="24"/>
          <w:lang w:val="en-US"/>
        </w:rPr>
        <w:t xml:space="preserve"> syllabus and specified academic and non-academic course requirements, further signing</w:t>
      </w:r>
      <w:r w:rsidR="001B490D">
        <w:rPr>
          <w:rFonts w:ascii="Arial" w:eastAsia="Arial" w:hAnsi="Arial" w:cs="Arial"/>
          <w:sz w:val="24"/>
          <w:szCs w:val="24"/>
          <w:lang w:val="en-US"/>
        </w:rPr>
        <w:t xml:space="preserve"> of</w:t>
      </w:r>
      <w:r w:rsidRPr="009A7DAE">
        <w:rPr>
          <w:rFonts w:ascii="Arial" w:eastAsia="Arial" w:hAnsi="Arial" w:cs="Arial"/>
          <w:sz w:val="24"/>
          <w:szCs w:val="24"/>
          <w:lang w:val="en-US"/>
        </w:rPr>
        <w:t xml:space="preserve"> the syllabus </w:t>
      </w:r>
      <w:r>
        <w:rPr>
          <w:rFonts w:ascii="Arial" w:eastAsia="Arial" w:hAnsi="Arial" w:cs="Arial"/>
          <w:sz w:val="24"/>
          <w:szCs w:val="24"/>
          <w:lang w:val="en-US"/>
        </w:rPr>
        <w:t xml:space="preserve">upon agreement </w:t>
      </w:r>
      <w:r w:rsidRPr="009A7DAE">
        <w:rPr>
          <w:rFonts w:ascii="Arial" w:eastAsia="Arial" w:hAnsi="Arial" w:cs="Arial"/>
          <w:sz w:val="24"/>
          <w:szCs w:val="24"/>
          <w:lang w:val="en-US"/>
        </w:rPr>
        <w:t xml:space="preserve">and withdrawing from the </w:t>
      </w:r>
      <w:r w:rsidR="001B490D">
        <w:rPr>
          <w:rFonts w:ascii="Arial" w:eastAsia="Arial" w:hAnsi="Arial" w:cs="Arial"/>
          <w:sz w:val="24"/>
          <w:szCs w:val="24"/>
          <w:lang w:val="en-US"/>
        </w:rPr>
        <w:t>course</w:t>
      </w:r>
      <w:r w:rsidRPr="009A7DAE">
        <w:rPr>
          <w:rFonts w:ascii="Arial" w:eastAsia="Arial" w:hAnsi="Arial" w:cs="Arial"/>
          <w:sz w:val="24"/>
          <w:szCs w:val="24"/>
          <w:lang w:val="en-US"/>
        </w:rPr>
        <w:t xml:space="preserve"> </w:t>
      </w:r>
      <w:r w:rsidR="001B490D">
        <w:rPr>
          <w:rFonts w:ascii="Arial" w:eastAsia="Arial" w:hAnsi="Arial" w:cs="Arial"/>
          <w:sz w:val="24"/>
          <w:szCs w:val="24"/>
          <w:lang w:val="en-US"/>
        </w:rPr>
        <w:t>in case of</w:t>
      </w:r>
      <w:r>
        <w:rPr>
          <w:rFonts w:ascii="Arial" w:eastAsia="Arial" w:hAnsi="Arial" w:cs="Arial"/>
          <w:sz w:val="24"/>
          <w:szCs w:val="24"/>
          <w:lang w:val="en-US"/>
        </w:rPr>
        <w:t xml:space="preserve"> dis</w:t>
      </w:r>
      <w:r w:rsidRPr="009A7DAE">
        <w:rPr>
          <w:rFonts w:ascii="Arial" w:eastAsia="Arial" w:hAnsi="Arial" w:cs="Arial"/>
          <w:sz w:val="24"/>
          <w:szCs w:val="24"/>
          <w:lang w:val="en-US"/>
        </w:rPr>
        <w:t>agree</w:t>
      </w:r>
      <w:r>
        <w:rPr>
          <w:rFonts w:ascii="Arial" w:eastAsia="Arial" w:hAnsi="Arial" w:cs="Arial"/>
          <w:sz w:val="24"/>
          <w:szCs w:val="24"/>
          <w:lang w:val="en-US"/>
        </w:rPr>
        <w:t>ment</w:t>
      </w:r>
      <w:r w:rsidRPr="009A7DAE">
        <w:rPr>
          <w:rFonts w:ascii="Arial" w:eastAsia="Arial" w:hAnsi="Arial" w:cs="Arial"/>
          <w:sz w:val="24"/>
          <w:szCs w:val="24"/>
          <w:lang w:val="en-US"/>
        </w:rPr>
        <w:t>.</w:t>
      </w:r>
    </w:p>
    <w:p w14:paraId="1E108709" w14:textId="479F2944" w:rsidR="00037213" w:rsidRPr="001B490D" w:rsidRDefault="001B490D" w:rsidP="00037213">
      <w:pPr>
        <w:numPr>
          <w:ilvl w:val="0"/>
          <w:numId w:val="2"/>
        </w:numPr>
        <w:pBdr>
          <w:top w:val="nil"/>
          <w:left w:val="nil"/>
          <w:bottom w:val="nil"/>
          <w:right w:val="nil"/>
          <w:between w:val="nil"/>
        </w:pBdr>
        <w:spacing w:after="0" w:line="276" w:lineRule="auto"/>
        <w:ind w:left="851"/>
        <w:jc w:val="both"/>
        <w:rPr>
          <w:rFonts w:ascii="Arial" w:hAnsi="Arial" w:cs="Arial"/>
          <w:sz w:val="24"/>
          <w:szCs w:val="24"/>
          <w:lang w:val="en-US"/>
        </w:rPr>
      </w:pPr>
      <w:r w:rsidRPr="001B490D">
        <w:rPr>
          <w:rFonts w:ascii="Arial" w:eastAsia="Arial" w:hAnsi="Arial" w:cs="Arial"/>
          <w:sz w:val="24"/>
          <w:szCs w:val="24"/>
          <w:lang w:val="en-US"/>
        </w:rPr>
        <w:t>Clear criteria of formative and summative</w:t>
      </w:r>
      <w:r w:rsidR="009356A9">
        <w:rPr>
          <w:rFonts w:ascii="Arial" w:eastAsia="Arial" w:hAnsi="Arial" w:cs="Arial"/>
          <w:sz w:val="24"/>
          <w:szCs w:val="24"/>
          <w:lang w:val="en-US"/>
        </w:rPr>
        <w:t xml:space="preserve"> </w:t>
      </w:r>
      <w:r w:rsidRPr="001B490D">
        <w:rPr>
          <w:rFonts w:ascii="Arial" w:eastAsia="Arial" w:hAnsi="Arial" w:cs="Arial"/>
          <w:sz w:val="24"/>
          <w:szCs w:val="24"/>
          <w:lang w:val="en-US"/>
        </w:rPr>
        <w:t>assessment</w:t>
      </w:r>
      <w:r w:rsidR="009356A9">
        <w:rPr>
          <w:rFonts w:ascii="Arial" w:eastAsia="Arial" w:hAnsi="Arial" w:cs="Arial"/>
          <w:sz w:val="24"/>
          <w:szCs w:val="24"/>
          <w:lang w:val="en-US"/>
        </w:rPr>
        <w:t>,</w:t>
      </w:r>
      <w:r w:rsidR="009356A9" w:rsidRPr="009356A9">
        <w:rPr>
          <w:rFonts w:ascii="Arial" w:eastAsia="Arial" w:hAnsi="Arial" w:cs="Arial"/>
          <w:sz w:val="24"/>
          <w:szCs w:val="24"/>
          <w:lang w:val="en-US"/>
        </w:rPr>
        <w:t xml:space="preserve"> </w:t>
      </w:r>
      <w:r w:rsidR="009356A9" w:rsidRPr="001B490D">
        <w:rPr>
          <w:rFonts w:ascii="Arial" w:eastAsia="Arial" w:hAnsi="Arial" w:cs="Arial"/>
          <w:sz w:val="24"/>
          <w:szCs w:val="24"/>
          <w:lang w:val="en-US"/>
        </w:rPr>
        <w:t>evaluation</w:t>
      </w:r>
      <w:r w:rsidRPr="001B490D">
        <w:rPr>
          <w:rFonts w:ascii="Arial" w:eastAsia="Arial" w:hAnsi="Arial" w:cs="Arial"/>
          <w:sz w:val="24"/>
          <w:szCs w:val="24"/>
          <w:lang w:val="en-US"/>
        </w:rPr>
        <w:t xml:space="preserve"> of intermediate and final controls</w:t>
      </w:r>
      <w:r w:rsidR="009356A9">
        <w:rPr>
          <w:rFonts w:ascii="Arial" w:eastAsia="Arial" w:hAnsi="Arial" w:cs="Arial"/>
          <w:sz w:val="24"/>
          <w:szCs w:val="24"/>
          <w:lang w:val="en-US"/>
        </w:rPr>
        <w:t xml:space="preserve"> is</w:t>
      </w:r>
      <w:r w:rsidRPr="001B490D">
        <w:rPr>
          <w:rFonts w:ascii="Arial" w:eastAsia="Arial" w:hAnsi="Arial" w:cs="Arial"/>
          <w:sz w:val="24"/>
          <w:szCs w:val="24"/>
          <w:lang w:val="en-US"/>
        </w:rPr>
        <w:t xml:space="preserve"> spelled out in the course syllabus and presented in advance to the student. Opportunity for </w:t>
      </w:r>
      <w:r w:rsidR="009356A9">
        <w:rPr>
          <w:rFonts w:ascii="Arial" w:eastAsia="Arial" w:hAnsi="Arial" w:cs="Arial"/>
          <w:sz w:val="24"/>
          <w:szCs w:val="24"/>
          <w:lang w:val="en-US"/>
        </w:rPr>
        <w:t>the</w:t>
      </w:r>
      <w:r w:rsidRPr="001B490D">
        <w:rPr>
          <w:rFonts w:ascii="Arial" w:eastAsia="Arial" w:hAnsi="Arial" w:cs="Arial"/>
          <w:sz w:val="24"/>
          <w:szCs w:val="24"/>
          <w:lang w:val="en-US"/>
        </w:rPr>
        <w:t xml:space="preserve"> student to challenge grading criteria that have been used without the student's prior knowledge.</w:t>
      </w:r>
    </w:p>
    <w:p w14:paraId="7B192A40" w14:textId="1B55A489" w:rsidR="00037213" w:rsidRPr="001B490D" w:rsidRDefault="001B490D" w:rsidP="00037213">
      <w:pPr>
        <w:numPr>
          <w:ilvl w:val="0"/>
          <w:numId w:val="2"/>
        </w:numPr>
        <w:pBdr>
          <w:top w:val="nil"/>
          <w:left w:val="nil"/>
          <w:bottom w:val="nil"/>
          <w:right w:val="nil"/>
          <w:between w:val="nil"/>
        </w:pBdr>
        <w:spacing w:after="113" w:line="276" w:lineRule="auto"/>
        <w:ind w:left="851"/>
        <w:jc w:val="both"/>
        <w:rPr>
          <w:rFonts w:ascii="Arial" w:hAnsi="Arial" w:cs="Arial"/>
          <w:sz w:val="24"/>
          <w:szCs w:val="24"/>
          <w:lang w:val="en-US"/>
        </w:rPr>
      </w:pPr>
      <w:r>
        <w:rPr>
          <w:rFonts w:ascii="Arial" w:eastAsia="Arial" w:hAnsi="Arial" w:cs="Arial"/>
          <w:sz w:val="24"/>
          <w:szCs w:val="24"/>
          <w:lang w:val="en-US"/>
        </w:rPr>
        <w:t>S</w:t>
      </w:r>
      <w:r w:rsidRPr="001B490D">
        <w:rPr>
          <w:rFonts w:ascii="Arial" w:eastAsia="Arial" w:hAnsi="Arial" w:cs="Arial"/>
          <w:sz w:val="24"/>
          <w:szCs w:val="24"/>
          <w:lang w:val="en-US"/>
        </w:rPr>
        <w:t xml:space="preserve">cope and content of the course syllabus, including expected </w:t>
      </w:r>
      <w:r>
        <w:rPr>
          <w:rFonts w:ascii="Arial" w:eastAsia="Arial" w:hAnsi="Arial" w:cs="Arial"/>
          <w:sz w:val="24"/>
          <w:szCs w:val="24"/>
          <w:lang w:val="en-US"/>
        </w:rPr>
        <w:t>learning</w:t>
      </w:r>
      <w:r w:rsidRPr="001B490D">
        <w:rPr>
          <w:rFonts w:ascii="Arial" w:eastAsia="Arial" w:hAnsi="Arial" w:cs="Arial"/>
          <w:sz w:val="24"/>
          <w:szCs w:val="24"/>
          <w:lang w:val="en-US"/>
        </w:rPr>
        <w:t xml:space="preserve"> outcomes, evaluation criteria, academic and non-academic course policies, and the student's signature of agreement to the terms.</w:t>
      </w:r>
    </w:p>
    <w:p w14:paraId="205FA3C1" w14:textId="4BF841AF" w:rsidR="00037213" w:rsidRPr="001B490D" w:rsidRDefault="001B490D" w:rsidP="00037213">
      <w:pPr>
        <w:numPr>
          <w:ilvl w:val="0"/>
          <w:numId w:val="2"/>
        </w:numPr>
        <w:pBdr>
          <w:top w:val="nil"/>
          <w:left w:val="nil"/>
          <w:bottom w:val="nil"/>
          <w:right w:val="nil"/>
          <w:between w:val="nil"/>
        </w:pBdr>
        <w:spacing w:after="113" w:line="276" w:lineRule="auto"/>
        <w:ind w:left="851"/>
        <w:jc w:val="both"/>
        <w:rPr>
          <w:rFonts w:ascii="Arial" w:hAnsi="Arial" w:cs="Arial"/>
          <w:sz w:val="24"/>
          <w:szCs w:val="24"/>
          <w:lang w:val="en-US"/>
        </w:rPr>
      </w:pPr>
      <w:r>
        <w:rPr>
          <w:rFonts w:ascii="Arial" w:eastAsia="Arial" w:hAnsi="Arial" w:cs="Arial"/>
          <w:sz w:val="24"/>
          <w:szCs w:val="24"/>
          <w:lang w:val="en-US"/>
        </w:rPr>
        <w:t>When using</w:t>
      </w:r>
      <w:r w:rsidRPr="001B490D">
        <w:rPr>
          <w:rFonts w:ascii="Arial" w:eastAsia="Arial" w:hAnsi="Arial" w:cs="Arial"/>
          <w:sz w:val="24"/>
          <w:szCs w:val="24"/>
          <w:lang w:val="en-US"/>
        </w:rPr>
        <w:t xml:space="preserve"> distance learning technologies, provision of interactive elements of work with students to ensure their remote active participation in the educational process.</w:t>
      </w:r>
    </w:p>
    <w:p w14:paraId="0F76CC1E" w14:textId="5952E242" w:rsidR="00037213" w:rsidRPr="006A3793" w:rsidRDefault="006A3793" w:rsidP="00037213">
      <w:pPr>
        <w:numPr>
          <w:ilvl w:val="0"/>
          <w:numId w:val="11"/>
        </w:numPr>
        <w:spacing w:after="113" w:line="276" w:lineRule="auto"/>
        <w:ind w:left="426"/>
        <w:jc w:val="both"/>
        <w:rPr>
          <w:rFonts w:ascii="Arial" w:eastAsia="Arial" w:hAnsi="Arial" w:cs="Arial"/>
          <w:sz w:val="24"/>
          <w:szCs w:val="24"/>
          <w:lang w:val="en-US"/>
        </w:rPr>
      </w:pPr>
      <w:r w:rsidRPr="006A3793">
        <w:rPr>
          <w:rFonts w:ascii="Arial" w:eastAsia="Arial" w:hAnsi="Arial" w:cs="Arial"/>
          <w:b/>
          <w:bCs/>
          <w:sz w:val="24"/>
          <w:szCs w:val="24"/>
          <w:lang w:val="en-US"/>
        </w:rPr>
        <w:t>Admissions and Registration</w:t>
      </w:r>
      <w:r w:rsidRPr="006A3793">
        <w:rPr>
          <w:rFonts w:ascii="Arial" w:eastAsia="Arial" w:hAnsi="Arial" w:cs="Arial"/>
          <w:sz w:val="24"/>
          <w:szCs w:val="24"/>
          <w:lang w:val="en-US"/>
        </w:rPr>
        <w:t xml:space="preserve"> - arranging, </w:t>
      </w:r>
      <w:r w:rsidR="009356A9">
        <w:rPr>
          <w:rFonts w:ascii="Arial" w:eastAsia="Arial" w:hAnsi="Arial" w:cs="Arial"/>
          <w:sz w:val="24"/>
          <w:szCs w:val="24"/>
          <w:lang w:val="en-US"/>
        </w:rPr>
        <w:t>mostly</w:t>
      </w:r>
      <w:r w:rsidRPr="006A3793">
        <w:rPr>
          <w:rFonts w:ascii="Arial" w:eastAsia="Arial" w:hAnsi="Arial" w:cs="Arial"/>
          <w:sz w:val="24"/>
          <w:szCs w:val="24"/>
          <w:lang w:val="en-US"/>
        </w:rPr>
        <w:t xml:space="preserve"> electronically, individual student participation, free choice of courses and registration for desired courses, and choice of instructor and schedule.</w:t>
      </w:r>
    </w:p>
    <w:p w14:paraId="5B815FE8" w14:textId="2485D897" w:rsidR="00037213" w:rsidRPr="006A3793" w:rsidRDefault="006A3793" w:rsidP="00037213">
      <w:pPr>
        <w:numPr>
          <w:ilvl w:val="0"/>
          <w:numId w:val="3"/>
        </w:numPr>
        <w:pBdr>
          <w:top w:val="nil"/>
          <w:left w:val="nil"/>
          <w:bottom w:val="nil"/>
          <w:right w:val="nil"/>
          <w:between w:val="nil"/>
        </w:pBdr>
        <w:spacing w:after="0" w:line="276" w:lineRule="auto"/>
        <w:ind w:left="851"/>
        <w:jc w:val="both"/>
        <w:rPr>
          <w:rFonts w:ascii="Arial" w:eastAsia="Arial" w:hAnsi="Arial" w:cs="Arial"/>
          <w:sz w:val="24"/>
          <w:szCs w:val="24"/>
          <w:lang w:val="en-US"/>
        </w:rPr>
      </w:pPr>
      <w:r>
        <w:rPr>
          <w:rFonts w:ascii="Arial" w:eastAsia="Arial" w:hAnsi="Arial" w:cs="Arial"/>
          <w:sz w:val="24"/>
          <w:szCs w:val="24"/>
          <w:lang w:val="en-US"/>
        </w:rPr>
        <w:t>The d</w:t>
      </w:r>
      <w:r w:rsidRPr="006A3793">
        <w:rPr>
          <w:rFonts w:ascii="Arial" w:eastAsia="Arial" w:hAnsi="Arial" w:cs="Arial"/>
          <w:sz w:val="24"/>
          <w:szCs w:val="24"/>
          <w:lang w:val="en-US"/>
        </w:rPr>
        <w:t>egree of electronic availability and scope of electronic student admission and registration procedures.</w:t>
      </w:r>
    </w:p>
    <w:p w14:paraId="0D492C4A" w14:textId="723BCF54" w:rsidR="00037213" w:rsidRPr="006A3793" w:rsidRDefault="006A3793" w:rsidP="00037213">
      <w:pPr>
        <w:numPr>
          <w:ilvl w:val="0"/>
          <w:numId w:val="3"/>
        </w:numPr>
        <w:pBdr>
          <w:top w:val="nil"/>
          <w:left w:val="nil"/>
          <w:bottom w:val="nil"/>
          <w:right w:val="nil"/>
          <w:between w:val="nil"/>
        </w:pBdr>
        <w:spacing w:after="0" w:line="276" w:lineRule="auto"/>
        <w:ind w:left="851"/>
        <w:jc w:val="both"/>
        <w:rPr>
          <w:rFonts w:ascii="Arial" w:eastAsia="Arial" w:hAnsi="Arial" w:cs="Arial"/>
          <w:sz w:val="24"/>
          <w:szCs w:val="24"/>
          <w:lang w:val="en-US"/>
        </w:rPr>
      </w:pPr>
      <w:r>
        <w:rPr>
          <w:rFonts w:ascii="Arial" w:eastAsia="Arial" w:hAnsi="Arial" w:cs="Arial"/>
          <w:sz w:val="24"/>
          <w:szCs w:val="24"/>
          <w:lang w:val="en-US"/>
        </w:rPr>
        <w:t>The degree</w:t>
      </w:r>
      <w:r w:rsidRPr="006A3793">
        <w:rPr>
          <w:rFonts w:ascii="Arial" w:eastAsia="Arial" w:hAnsi="Arial" w:cs="Arial"/>
          <w:sz w:val="24"/>
          <w:szCs w:val="24"/>
          <w:lang w:val="en-US"/>
        </w:rPr>
        <w:t xml:space="preserve"> of student freedom in individual choice of </w:t>
      </w:r>
      <w:r>
        <w:rPr>
          <w:rFonts w:ascii="Arial" w:eastAsia="Arial" w:hAnsi="Arial" w:cs="Arial"/>
          <w:sz w:val="24"/>
          <w:szCs w:val="24"/>
          <w:lang w:val="en-US"/>
        </w:rPr>
        <w:t>a course</w:t>
      </w:r>
      <w:r w:rsidRPr="006A3793">
        <w:rPr>
          <w:rFonts w:ascii="Arial" w:eastAsia="Arial" w:hAnsi="Arial" w:cs="Arial"/>
          <w:sz w:val="24"/>
          <w:szCs w:val="24"/>
          <w:lang w:val="en-US"/>
        </w:rPr>
        <w:t xml:space="preserve"> while complying with </w:t>
      </w:r>
      <w:r>
        <w:rPr>
          <w:rFonts w:ascii="Arial" w:eastAsia="Arial" w:hAnsi="Arial" w:cs="Arial"/>
          <w:sz w:val="24"/>
          <w:szCs w:val="24"/>
          <w:lang w:val="en-US"/>
        </w:rPr>
        <w:t>HPEI</w:t>
      </w:r>
      <w:r w:rsidRPr="006A3793">
        <w:rPr>
          <w:rFonts w:ascii="Arial" w:eastAsia="Arial" w:hAnsi="Arial" w:cs="Arial"/>
          <w:sz w:val="24"/>
          <w:szCs w:val="24"/>
          <w:lang w:val="en-US"/>
        </w:rPr>
        <w:t xml:space="preserve"> requirements for the number of students to register.</w:t>
      </w:r>
    </w:p>
    <w:p w14:paraId="4B34C0AA" w14:textId="295E719C" w:rsidR="00037213" w:rsidRPr="006A3793" w:rsidRDefault="006A3793" w:rsidP="00037213">
      <w:pPr>
        <w:numPr>
          <w:ilvl w:val="0"/>
          <w:numId w:val="3"/>
        </w:numPr>
        <w:pBdr>
          <w:top w:val="nil"/>
          <w:left w:val="nil"/>
          <w:bottom w:val="nil"/>
          <w:right w:val="nil"/>
          <w:between w:val="nil"/>
        </w:pBdr>
        <w:spacing w:after="0" w:line="276" w:lineRule="auto"/>
        <w:ind w:left="851"/>
        <w:jc w:val="both"/>
        <w:rPr>
          <w:rFonts w:ascii="Arial" w:eastAsia="Arial" w:hAnsi="Arial" w:cs="Arial"/>
          <w:sz w:val="24"/>
          <w:szCs w:val="24"/>
          <w:lang w:val="en-US"/>
        </w:rPr>
      </w:pPr>
      <w:r>
        <w:rPr>
          <w:rFonts w:ascii="Arial" w:eastAsia="Arial" w:hAnsi="Arial" w:cs="Arial"/>
          <w:sz w:val="24"/>
          <w:szCs w:val="24"/>
          <w:lang w:val="en-US"/>
        </w:rPr>
        <w:t xml:space="preserve">The degree </w:t>
      </w:r>
      <w:r w:rsidRPr="006A3793">
        <w:rPr>
          <w:rFonts w:ascii="Arial" w:eastAsia="Arial" w:hAnsi="Arial" w:cs="Arial"/>
          <w:sz w:val="24"/>
          <w:szCs w:val="24"/>
          <w:lang w:val="en-US"/>
        </w:rPr>
        <w:t xml:space="preserve">of student freedom in individual choice of instructor while meeting </w:t>
      </w:r>
      <w:r>
        <w:rPr>
          <w:rFonts w:ascii="Arial" w:eastAsia="Arial" w:hAnsi="Arial" w:cs="Arial"/>
          <w:sz w:val="24"/>
          <w:szCs w:val="24"/>
          <w:lang w:val="en-US"/>
        </w:rPr>
        <w:t>HPEI</w:t>
      </w:r>
      <w:r w:rsidRPr="006A3793">
        <w:rPr>
          <w:rFonts w:ascii="Arial" w:eastAsia="Arial" w:hAnsi="Arial" w:cs="Arial"/>
          <w:sz w:val="24"/>
          <w:szCs w:val="24"/>
          <w:lang w:val="en-US"/>
        </w:rPr>
        <w:t xml:space="preserve"> requirements for the number of students enrolled.</w:t>
      </w:r>
    </w:p>
    <w:p w14:paraId="41D012EC" w14:textId="38EA87F9" w:rsidR="00037213" w:rsidRPr="006A3793" w:rsidRDefault="006A3793" w:rsidP="00037213">
      <w:pPr>
        <w:numPr>
          <w:ilvl w:val="0"/>
          <w:numId w:val="3"/>
        </w:numPr>
        <w:pBdr>
          <w:top w:val="nil"/>
          <w:left w:val="nil"/>
          <w:bottom w:val="nil"/>
          <w:right w:val="nil"/>
          <w:between w:val="nil"/>
        </w:pBdr>
        <w:spacing w:after="113" w:line="276" w:lineRule="auto"/>
        <w:ind w:left="851"/>
        <w:jc w:val="both"/>
        <w:rPr>
          <w:rFonts w:ascii="Arial" w:eastAsia="Arial" w:hAnsi="Arial" w:cs="Arial"/>
          <w:sz w:val="24"/>
          <w:szCs w:val="24"/>
          <w:lang w:val="en-US"/>
        </w:rPr>
      </w:pPr>
      <w:r w:rsidRPr="006A3793">
        <w:rPr>
          <w:rFonts w:ascii="Arial" w:eastAsia="Arial" w:hAnsi="Arial" w:cs="Arial"/>
          <w:sz w:val="24"/>
          <w:szCs w:val="24"/>
          <w:lang w:val="en-US"/>
        </w:rPr>
        <w:t xml:space="preserve">The degree of freedom of the student in the individual choice of schedule within the schedule of the chosen </w:t>
      </w:r>
      <w:r>
        <w:rPr>
          <w:rFonts w:ascii="Arial" w:eastAsia="Arial" w:hAnsi="Arial" w:cs="Arial"/>
          <w:sz w:val="24"/>
          <w:szCs w:val="24"/>
          <w:lang w:val="en-US"/>
        </w:rPr>
        <w:t>instructor</w:t>
      </w:r>
      <w:r w:rsidRPr="006A3793">
        <w:rPr>
          <w:rFonts w:ascii="Arial" w:eastAsia="Arial" w:hAnsi="Arial" w:cs="Arial"/>
          <w:sz w:val="24"/>
          <w:szCs w:val="24"/>
          <w:lang w:val="en-US"/>
        </w:rPr>
        <w:t>.</w:t>
      </w:r>
    </w:p>
    <w:p w14:paraId="6672C76A" w14:textId="04A41215" w:rsidR="00037213" w:rsidRPr="00D7256E" w:rsidRDefault="00D7256E" w:rsidP="00037213">
      <w:pPr>
        <w:numPr>
          <w:ilvl w:val="0"/>
          <w:numId w:val="11"/>
        </w:numPr>
        <w:spacing w:after="113" w:line="276" w:lineRule="auto"/>
        <w:ind w:left="426"/>
        <w:jc w:val="both"/>
        <w:rPr>
          <w:rFonts w:ascii="Arial" w:hAnsi="Arial" w:cs="Arial"/>
          <w:sz w:val="24"/>
          <w:szCs w:val="24"/>
          <w:lang w:val="en-US"/>
        </w:rPr>
      </w:pPr>
      <w:r w:rsidRPr="00D7256E">
        <w:rPr>
          <w:rFonts w:ascii="Arial" w:eastAsia="Arial" w:hAnsi="Arial" w:cs="Arial"/>
          <w:b/>
          <w:bCs/>
          <w:sz w:val="24"/>
          <w:szCs w:val="24"/>
          <w:lang w:val="en-US"/>
        </w:rPr>
        <w:t>Recognition of the learning sequence</w:t>
      </w:r>
      <w:r w:rsidRPr="00D7256E">
        <w:rPr>
          <w:rFonts w:ascii="Arial" w:eastAsia="Arial" w:hAnsi="Arial" w:cs="Arial"/>
          <w:sz w:val="24"/>
          <w:szCs w:val="24"/>
          <w:lang w:val="en-US"/>
        </w:rPr>
        <w:t xml:space="preserve"> - the mechanism and procedure for transferring student credits based on verified transcripts of other educational organizations or </w:t>
      </w:r>
      <w:r w:rsidR="00670717">
        <w:rPr>
          <w:rFonts w:ascii="Arial" w:eastAsia="Arial" w:hAnsi="Arial" w:cs="Arial"/>
          <w:sz w:val="24"/>
          <w:szCs w:val="24"/>
          <w:lang w:val="en-US"/>
        </w:rPr>
        <w:t xml:space="preserve">certificates of </w:t>
      </w:r>
      <w:r>
        <w:rPr>
          <w:rFonts w:ascii="Arial" w:eastAsia="Arial" w:hAnsi="Arial" w:cs="Arial"/>
          <w:sz w:val="24"/>
          <w:szCs w:val="24"/>
          <w:lang w:val="en-US"/>
        </w:rPr>
        <w:t xml:space="preserve">massive open online </w:t>
      </w:r>
      <w:r w:rsidR="00670717">
        <w:rPr>
          <w:rFonts w:ascii="Arial" w:eastAsia="Arial" w:hAnsi="Arial" w:cs="Arial"/>
          <w:sz w:val="24"/>
          <w:szCs w:val="24"/>
          <w:lang w:val="en-US"/>
        </w:rPr>
        <w:t>courses</w:t>
      </w:r>
      <w:r w:rsidRPr="00D7256E">
        <w:rPr>
          <w:rFonts w:ascii="Arial" w:eastAsia="Arial" w:hAnsi="Arial" w:cs="Arial"/>
          <w:sz w:val="24"/>
          <w:szCs w:val="24"/>
          <w:lang w:val="en-US"/>
        </w:rPr>
        <w:t xml:space="preserve">, ensuring a consistent and continuous trajectory of student learning. The </w:t>
      </w:r>
      <w:r>
        <w:rPr>
          <w:rFonts w:ascii="Arial" w:eastAsia="Arial" w:hAnsi="Arial" w:cs="Arial"/>
          <w:sz w:val="24"/>
          <w:szCs w:val="24"/>
          <w:lang w:val="en-US"/>
        </w:rPr>
        <w:t>HPEI</w:t>
      </w:r>
      <w:r w:rsidRPr="00D7256E">
        <w:rPr>
          <w:rFonts w:ascii="Arial" w:eastAsia="Arial" w:hAnsi="Arial" w:cs="Arial"/>
          <w:sz w:val="24"/>
          <w:szCs w:val="24"/>
          <w:lang w:val="en-US"/>
        </w:rPr>
        <w:t xml:space="preserve"> can set its own limits on the lower </w:t>
      </w:r>
      <w:r>
        <w:rPr>
          <w:rFonts w:ascii="Arial" w:eastAsia="Arial" w:hAnsi="Arial" w:cs="Arial"/>
          <w:sz w:val="24"/>
          <w:szCs w:val="24"/>
          <w:lang w:val="en-US"/>
        </w:rPr>
        <w:t>bound</w:t>
      </w:r>
      <w:r w:rsidRPr="00D7256E">
        <w:rPr>
          <w:rFonts w:ascii="Arial" w:eastAsia="Arial" w:hAnsi="Arial" w:cs="Arial"/>
          <w:sz w:val="24"/>
          <w:szCs w:val="24"/>
          <w:lang w:val="en-US"/>
        </w:rPr>
        <w:t xml:space="preserve"> of the scores for </w:t>
      </w:r>
      <w:r>
        <w:rPr>
          <w:rFonts w:ascii="Arial" w:eastAsia="Arial" w:hAnsi="Arial" w:cs="Arial"/>
          <w:sz w:val="24"/>
          <w:szCs w:val="24"/>
          <w:lang w:val="en-US"/>
        </w:rPr>
        <w:t xml:space="preserve">credit </w:t>
      </w:r>
      <w:r w:rsidR="00670717">
        <w:rPr>
          <w:rFonts w:ascii="Arial" w:eastAsia="Arial" w:hAnsi="Arial" w:cs="Arial"/>
          <w:sz w:val="24"/>
          <w:szCs w:val="24"/>
          <w:lang w:val="en-US"/>
        </w:rPr>
        <w:t>transfer</w:t>
      </w:r>
      <w:r w:rsidRPr="00D7256E">
        <w:rPr>
          <w:rFonts w:ascii="Arial" w:eastAsia="Arial" w:hAnsi="Arial" w:cs="Arial"/>
          <w:sz w:val="24"/>
          <w:szCs w:val="24"/>
          <w:lang w:val="en-US"/>
        </w:rPr>
        <w:t>.</w:t>
      </w:r>
    </w:p>
    <w:p w14:paraId="5C592BFC" w14:textId="54DD070B" w:rsidR="00037213" w:rsidRPr="00670717" w:rsidRDefault="00670717" w:rsidP="00037213">
      <w:pPr>
        <w:numPr>
          <w:ilvl w:val="0"/>
          <w:numId w:val="4"/>
        </w:numPr>
        <w:pBdr>
          <w:top w:val="nil"/>
          <w:left w:val="nil"/>
          <w:bottom w:val="nil"/>
          <w:right w:val="nil"/>
          <w:between w:val="nil"/>
        </w:pBdr>
        <w:spacing w:after="0" w:line="276" w:lineRule="auto"/>
        <w:ind w:left="851"/>
        <w:jc w:val="both"/>
        <w:rPr>
          <w:rFonts w:ascii="Arial" w:hAnsi="Arial" w:cs="Arial"/>
          <w:sz w:val="24"/>
          <w:szCs w:val="24"/>
          <w:lang w:val="en-US"/>
        </w:rPr>
      </w:pPr>
      <w:r w:rsidRPr="00670717">
        <w:rPr>
          <w:rFonts w:ascii="Arial" w:eastAsia="Arial" w:hAnsi="Arial" w:cs="Arial"/>
          <w:sz w:val="24"/>
          <w:szCs w:val="24"/>
          <w:lang w:val="en-US"/>
        </w:rPr>
        <w:t xml:space="preserve">Tabulated procedures and mechanisms for credit transfer upon presentation by the student of verified transcripts of other </w:t>
      </w:r>
      <w:r>
        <w:rPr>
          <w:rFonts w:ascii="Arial" w:eastAsia="Arial" w:hAnsi="Arial" w:cs="Arial"/>
          <w:sz w:val="24"/>
          <w:szCs w:val="24"/>
          <w:lang w:val="en-US"/>
        </w:rPr>
        <w:t>HPEI</w:t>
      </w:r>
      <w:r w:rsidRPr="00670717">
        <w:rPr>
          <w:rFonts w:ascii="Arial" w:eastAsia="Arial" w:hAnsi="Arial" w:cs="Arial"/>
          <w:sz w:val="24"/>
          <w:szCs w:val="24"/>
          <w:lang w:val="en-US"/>
        </w:rPr>
        <w:t>s.</w:t>
      </w:r>
    </w:p>
    <w:p w14:paraId="63F953C3" w14:textId="087A894F" w:rsidR="00037213" w:rsidRPr="00670717" w:rsidRDefault="00670717" w:rsidP="00037213">
      <w:pPr>
        <w:numPr>
          <w:ilvl w:val="0"/>
          <w:numId w:val="4"/>
        </w:numPr>
        <w:pBdr>
          <w:top w:val="nil"/>
          <w:left w:val="nil"/>
          <w:bottom w:val="nil"/>
          <w:right w:val="nil"/>
          <w:between w:val="nil"/>
        </w:pBdr>
        <w:spacing w:after="0" w:line="276" w:lineRule="auto"/>
        <w:ind w:left="851"/>
        <w:jc w:val="both"/>
        <w:rPr>
          <w:rFonts w:ascii="Arial" w:hAnsi="Arial" w:cs="Arial"/>
          <w:sz w:val="24"/>
          <w:szCs w:val="24"/>
          <w:lang w:val="en-US"/>
        </w:rPr>
      </w:pPr>
      <w:r w:rsidRPr="00670717">
        <w:rPr>
          <w:rFonts w:ascii="Arial" w:eastAsia="Arial" w:hAnsi="Arial" w:cs="Arial"/>
          <w:sz w:val="24"/>
          <w:szCs w:val="24"/>
          <w:lang w:val="en-US"/>
        </w:rPr>
        <w:t>Tabulated procedures and mechanisms for credit transfer upon presentation by the student of verified transcripts of secondary and secondary vocational</w:t>
      </w:r>
      <w:r>
        <w:rPr>
          <w:rFonts w:ascii="Arial" w:eastAsia="Arial" w:hAnsi="Arial" w:cs="Arial"/>
          <w:sz w:val="24"/>
          <w:szCs w:val="24"/>
          <w:lang w:val="en-US"/>
        </w:rPr>
        <w:t xml:space="preserve"> educational institutions</w:t>
      </w:r>
      <w:r w:rsidRPr="00670717">
        <w:rPr>
          <w:rFonts w:ascii="Arial" w:eastAsia="Arial" w:hAnsi="Arial" w:cs="Arial"/>
          <w:sz w:val="24"/>
          <w:szCs w:val="24"/>
          <w:lang w:val="en-US"/>
        </w:rPr>
        <w:t>.</w:t>
      </w:r>
    </w:p>
    <w:p w14:paraId="6F0F4B49" w14:textId="5A602C75" w:rsidR="00037213" w:rsidRPr="00670717" w:rsidRDefault="00670717" w:rsidP="00037213">
      <w:pPr>
        <w:numPr>
          <w:ilvl w:val="0"/>
          <w:numId w:val="4"/>
        </w:numPr>
        <w:pBdr>
          <w:top w:val="nil"/>
          <w:left w:val="nil"/>
          <w:bottom w:val="nil"/>
          <w:right w:val="nil"/>
          <w:between w:val="nil"/>
        </w:pBdr>
        <w:spacing w:after="113" w:line="276" w:lineRule="auto"/>
        <w:ind w:left="851"/>
        <w:jc w:val="both"/>
        <w:rPr>
          <w:rFonts w:ascii="Arial" w:hAnsi="Arial" w:cs="Arial"/>
          <w:sz w:val="24"/>
          <w:szCs w:val="24"/>
          <w:lang w:val="en-US"/>
        </w:rPr>
      </w:pPr>
      <w:r w:rsidRPr="00670717">
        <w:rPr>
          <w:rFonts w:ascii="Arial" w:eastAsia="Arial" w:hAnsi="Arial" w:cs="Arial"/>
          <w:sz w:val="24"/>
          <w:szCs w:val="24"/>
          <w:lang w:val="en-US"/>
        </w:rPr>
        <w:lastRenderedPageBreak/>
        <w:t>Credit transfer mechanism upon presentation by the student of verified certificates</w:t>
      </w:r>
      <w:r>
        <w:rPr>
          <w:rFonts w:ascii="Arial" w:eastAsia="Arial" w:hAnsi="Arial" w:cs="Arial"/>
          <w:sz w:val="24"/>
          <w:szCs w:val="24"/>
          <w:lang w:val="en-US"/>
        </w:rPr>
        <w:t xml:space="preserve"> of massive </w:t>
      </w:r>
      <w:r w:rsidRPr="00670717">
        <w:rPr>
          <w:rFonts w:ascii="Arial" w:eastAsia="Arial" w:hAnsi="Arial" w:cs="Arial"/>
          <w:sz w:val="24"/>
          <w:szCs w:val="24"/>
          <w:lang w:val="en-US"/>
        </w:rPr>
        <w:t>open</w:t>
      </w:r>
      <w:r>
        <w:rPr>
          <w:rFonts w:ascii="Arial" w:eastAsia="Arial" w:hAnsi="Arial" w:cs="Arial"/>
          <w:sz w:val="24"/>
          <w:szCs w:val="24"/>
          <w:lang w:val="en-US"/>
        </w:rPr>
        <w:t xml:space="preserve"> online courses </w:t>
      </w:r>
      <w:r w:rsidRPr="00670717">
        <w:rPr>
          <w:rFonts w:ascii="Arial" w:eastAsia="Arial" w:hAnsi="Arial" w:cs="Arial"/>
          <w:sz w:val="24"/>
          <w:szCs w:val="24"/>
          <w:lang w:val="en-US"/>
        </w:rPr>
        <w:t xml:space="preserve">from the list of recommended </w:t>
      </w:r>
      <w:r>
        <w:rPr>
          <w:rFonts w:ascii="Arial" w:eastAsia="Arial" w:hAnsi="Arial" w:cs="Arial"/>
          <w:sz w:val="24"/>
          <w:szCs w:val="24"/>
          <w:lang w:val="en-US"/>
        </w:rPr>
        <w:t>HPEIs</w:t>
      </w:r>
      <w:r w:rsidRPr="00670717">
        <w:rPr>
          <w:rFonts w:ascii="Arial" w:eastAsia="Arial" w:hAnsi="Arial" w:cs="Arial"/>
          <w:sz w:val="24"/>
          <w:szCs w:val="24"/>
          <w:lang w:val="en-US"/>
        </w:rPr>
        <w:t>.</w:t>
      </w:r>
    </w:p>
    <w:p w14:paraId="6BD2C522" w14:textId="06193CD6" w:rsidR="00037213" w:rsidRPr="00670717" w:rsidRDefault="00670717" w:rsidP="00037213">
      <w:pPr>
        <w:numPr>
          <w:ilvl w:val="0"/>
          <w:numId w:val="4"/>
        </w:numPr>
        <w:pBdr>
          <w:top w:val="nil"/>
          <w:left w:val="nil"/>
          <w:bottom w:val="nil"/>
          <w:right w:val="nil"/>
          <w:between w:val="nil"/>
        </w:pBdr>
        <w:spacing w:after="113" w:line="276" w:lineRule="auto"/>
        <w:ind w:left="851"/>
        <w:jc w:val="both"/>
        <w:rPr>
          <w:rFonts w:ascii="Arial" w:hAnsi="Arial" w:cs="Arial"/>
          <w:sz w:val="24"/>
          <w:szCs w:val="24"/>
          <w:lang w:val="en-US"/>
        </w:rPr>
      </w:pPr>
      <w:r w:rsidRPr="00670717">
        <w:rPr>
          <w:rFonts w:ascii="Arial" w:eastAsia="Arial" w:hAnsi="Arial" w:cs="Arial"/>
          <w:sz w:val="24"/>
          <w:szCs w:val="24"/>
          <w:lang w:val="kk-KZ"/>
        </w:rPr>
        <w:t>Encouraging students to take quality</w:t>
      </w:r>
      <w:r>
        <w:rPr>
          <w:rFonts w:ascii="Arial" w:eastAsia="Arial" w:hAnsi="Arial" w:cs="Arial"/>
          <w:sz w:val="24"/>
          <w:szCs w:val="24"/>
          <w:lang w:val="en-US"/>
        </w:rPr>
        <w:t xml:space="preserve"> massive open online courses</w:t>
      </w:r>
      <w:r w:rsidRPr="00670717">
        <w:rPr>
          <w:rFonts w:ascii="Arial" w:eastAsia="Arial" w:hAnsi="Arial" w:cs="Arial"/>
          <w:sz w:val="24"/>
          <w:szCs w:val="24"/>
          <w:lang w:val="kk-KZ"/>
        </w:rPr>
        <w:t xml:space="preserve"> on globally recognized platforms.</w:t>
      </w:r>
    </w:p>
    <w:p w14:paraId="38C81B7E" w14:textId="0E7E9DA7" w:rsidR="00037213" w:rsidRPr="00E31537" w:rsidRDefault="00E31537" w:rsidP="00037213">
      <w:pPr>
        <w:numPr>
          <w:ilvl w:val="0"/>
          <w:numId w:val="11"/>
        </w:numPr>
        <w:spacing w:after="113" w:line="276" w:lineRule="auto"/>
        <w:ind w:left="426"/>
        <w:jc w:val="both"/>
        <w:rPr>
          <w:rFonts w:ascii="Arial" w:eastAsia="Arial" w:hAnsi="Arial" w:cs="Arial"/>
          <w:sz w:val="24"/>
          <w:szCs w:val="24"/>
          <w:lang w:val="en-US"/>
        </w:rPr>
      </w:pPr>
      <w:r w:rsidRPr="00E31537">
        <w:rPr>
          <w:rFonts w:ascii="Arial" w:eastAsia="Arial" w:hAnsi="Arial" w:cs="Arial"/>
          <w:b/>
          <w:bCs/>
          <w:sz w:val="24"/>
          <w:szCs w:val="24"/>
          <w:lang w:val="en-US"/>
        </w:rPr>
        <w:t>Support of infrastructural resources</w:t>
      </w:r>
      <w:r w:rsidRPr="00E31537">
        <w:rPr>
          <w:rFonts w:ascii="Arial" w:eastAsia="Arial" w:hAnsi="Arial" w:cs="Arial"/>
          <w:sz w:val="24"/>
          <w:szCs w:val="24"/>
          <w:lang w:val="en-US"/>
        </w:rPr>
        <w:t xml:space="preserve"> - providing educational, social and psychological support to students, provision and accessibility </w:t>
      </w:r>
      <w:r>
        <w:rPr>
          <w:rFonts w:ascii="Arial" w:eastAsia="Arial" w:hAnsi="Arial" w:cs="Arial"/>
          <w:sz w:val="24"/>
          <w:szCs w:val="24"/>
          <w:lang w:val="en-US"/>
        </w:rPr>
        <w:t>of</w:t>
      </w:r>
      <w:r w:rsidRPr="00E31537">
        <w:rPr>
          <w:rFonts w:ascii="Arial" w:eastAsia="Arial" w:hAnsi="Arial" w:cs="Arial"/>
          <w:sz w:val="24"/>
          <w:szCs w:val="24"/>
          <w:lang w:val="en-US"/>
        </w:rPr>
        <w:t xml:space="preserve"> students with electronic communication channels, educational materials and documents intended for students.</w:t>
      </w:r>
    </w:p>
    <w:p w14:paraId="6FD380DF" w14:textId="44B94725" w:rsidR="00037213" w:rsidRPr="00E31537" w:rsidRDefault="00E31537" w:rsidP="00037213">
      <w:pPr>
        <w:numPr>
          <w:ilvl w:val="0"/>
          <w:numId w:val="5"/>
        </w:numPr>
        <w:pBdr>
          <w:top w:val="nil"/>
          <w:left w:val="nil"/>
          <w:bottom w:val="nil"/>
          <w:right w:val="nil"/>
          <w:between w:val="nil"/>
        </w:pBdr>
        <w:spacing w:after="0" w:line="276" w:lineRule="auto"/>
        <w:ind w:left="851"/>
        <w:jc w:val="both"/>
        <w:rPr>
          <w:rFonts w:ascii="Arial" w:eastAsia="Arial" w:hAnsi="Arial" w:cs="Arial"/>
          <w:sz w:val="24"/>
          <w:szCs w:val="24"/>
          <w:lang w:val="en-US"/>
        </w:rPr>
      </w:pPr>
      <w:r w:rsidRPr="00E31537">
        <w:rPr>
          <w:rFonts w:ascii="Arial" w:eastAsia="Arial" w:hAnsi="Arial" w:cs="Arial"/>
          <w:sz w:val="24"/>
          <w:szCs w:val="24"/>
          <w:lang w:val="en-US"/>
        </w:rPr>
        <w:t>Educational support for students with a deeper interest in learning or science and, conversely, with academic difficulties or low motivation.</w:t>
      </w:r>
    </w:p>
    <w:p w14:paraId="2003CB86" w14:textId="287854F3" w:rsidR="00037213" w:rsidRPr="00E31537" w:rsidRDefault="00E31537" w:rsidP="00037213">
      <w:pPr>
        <w:numPr>
          <w:ilvl w:val="0"/>
          <w:numId w:val="5"/>
        </w:numPr>
        <w:pBdr>
          <w:top w:val="nil"/>
          <w:left w:val="nil"/>
          <w:bottom w:val="nil"/>
          <w:right w:val="nil"/>
          <w:between w:val="nil"/>
        </w:pBdr>
        <w:spacing w:after="0" w:line="276" w:lineRule="auto"/>
        <w:ind w:left="851"/>
        <w:jc w:val="both"/>
        <w:rPr>
          <w:rFonts w:ascii="Arial" w:eastAsia="Arial" w:hAnsi="Arial" w:cs="Arial"/>
          <w:sz w:val="24"/>
          <w:szCs w:val="24"/>
          <w:lang w:val="en-US"/>
        </w:rPr>
      </w:pPr>
      <w:r w:rsidRPr="00E31537">
        <w:rPr>
          <w:rFonts w:ascii="Arial" w:eastAsia="Arial" w:hAnsi="Arial" w:cs="Arial"/>
          <w:sz w:val="24"/>
          <w:szCs w:val="24"/>
          <w:lang w:val="en-US"/>
        </w:rPr>
        <w:t>Mechanisms of social and psychological support for students, assistance in organizing internships and job searches, maintenance of a balance between study, work and personal life of students.</w:t>
      </w:r>
    </w:p>
    <w:p w14:paraId="4CA3855B" w14:textId="59693288" w:rsidR="00037213" w:rsidRPr="00D84FCD" w:rsidRDefault="00D84FCD" w:rsidP="00037213">
      <w:pPr>
        <w:numPr>
          <w:ilvl w:val="0"/>
          <w:numId w:val="5"/>
        </w:numPr>
        <w:pBdr>
          <w:top w:val="nil"/>
          <w:left w:val="nil"/>
          <w:bottom w:val="nil"/>
          <w:right w:val="nil"/>
          <w:between w:val="nil"/>
        </w:pBdr>
        <w:spacing w:after="0" w:line="276" w:lineRule="auto"/>
        <w:ind w:left="851"/>
        <w:jc w:val="both"/>
        <w:rPr>
          <w:rFonts w:ascii="Arial" w:eastAsia="Arial" w:hAnsi="Arial" w:cs="Arial"/>
          <w:sz w:val="24"/>
          <w:szCs w:val="24"/>
          <w:lang w:val="en-US"/>
        </w:rPr>
      </w:pPr>
      <w:r w:rsidRPr="00D84FCD">
        <w:rPr>
          <w:rFonts w:ascii="Arial" w:eastAsia="Arial" w:hAnsi="Arial" w:cs="Arial"/>
          <w:sz w:val="24"/>
          <w:szCs w:val="24"/>
          <w:lang w:val="en-US"/>
        </w:rPr>
        <w:t xml:space="preserve">Amount and organization, mostly electronic, of student access to academic materials, infrastructure, documents </w:t>
      </w:r>
      <w:r>
        <w:rPr>
          <w:rFonts w:ascii="Arial" w:eastAsia="Arial" w:hAnsi="Arial" w:cs="Arial"/>
          <w:sz w:val="24"/>
          <w:szCs w:val="24"/>
          <w:lang w:val="en-US"/>
        </w:rPr>
        <w:t xml:space="preserve">that </w:t>
      </w:r>
      <w:r w:rsidRPr="00D84FCD">
        <w:rPr>
          <w:rFonts w:ascii="Arial" w:eastAsia="Arial" w:hAnsi="Arial" w:cs="Arial"/>
          <w:sz w:val="24"/>
          <w:szCs w:val="24"/>
          <w:lang w:val="en-US"/>
        </w:rPr>
        <w:t>affect the academic and non-academic life of the student.</w:t>
      </w:r>
      <w:bookmarkStart w:id="0" w:name="_GoBack"/>
      <w:bookmarkEnd w:id="0"/>
    </w:p>
    <w:p w14:paraId="383FDE4F" w14:textId="4A79E739" w:rsidR="00037213" w:rsidRPr="00D84FCD" w:rsidRDefault="00D84FCD" w:rsidP="00037213">
      <w:pPr>
        <w:numPr>
          <w:ilvl w:val="0"/>
          <w:numId w:val="5"/>
        </w:numPr>
        <w:pBdr>
          <w:top w:val="nil"/>
          <w:left w:val="nil"/>
          <w:bottom w:val="nil"/>
          <w:right w:val="nil"/>
          <w:between w:val="nil"/>
        </w:pBdr>
        <w:spacing w:after="113" w:line="276" w:lineRule="auto"/>
        <w:ind w:left="851"/>
        <w:jc w:val="both"/>
        <w:rPr>
          <w:rFonts w:ascii="Arial" w:eastAsia="Arial" w:hAnsi="Arial" w:cs="Arial"/>
          <w:sz w:val="24"/>
          <w:szCs w:val="24"/>
          <w:lang w:val="en-US"/>
        </w:rPr>
      </w:pPr>
      <w:r w:rsidRPr="00D84FCD">
        <w:rPr>
          <w:rFonts w:ascii="Arial" w:eastAsia="Arial" w:hAnsi="Arial" w:cs="Arial"/>
          <w:sz w:val="24"/>
          <w:szCs w:val="24"/>
          <w:lang w:val="en-US"/>
        </w:rPr>
        <w:t xml:space="preserve">Percentage of coverage of the </w:t>
      </w:r>
      <w:r>
        <w:rPr>
          <w:rFonts w:ascii="Arial" w:eastAsia="Arial" w:hAnsi="Arial" w:cs="Arial"/>
          <w:sz w:val="24"/>
          <w:szCs w:val="24"/>
          <w:lang w:val="en-US"/>
        </w:rPr>
        <w:t>HPEI</w:t>
      </w:r>
      <w:r w:rsidRPr="00D84FCD">
        <w:rPr>
          <w:rFonts w:ascii="Arial" w:eastAsia="Arial" w:hAnsi="Arial" w:cs="Arial"/>
          <w:sz w:val="24"/>
          <w:szCs w:val="24"/>
          <w:lang w:val="en-US"/>
        </w:rPr>
        <w:t xml:space="preserve"> infrastructure with high-speed wireless Internet access.</w:t>
      </w:r>
    </w:p>
    <w:p w14:paraId="0A75A726" w14:textId="2B365593" w:rsidR="00037213" w:rsidRPr="00D84FCD" w:rsidRDefault="00D84FCD" w:rsidP="00037213">
      <w:pPr>
        <w:numPr>
          <w:ilvl w:val="0"/>
          <w:numId w:val="5"/>
        </w:numPr>
        <w:pBdr>
          <w:top w:val="nil"/>
          <w:left w:val="nil"/>
          <w:bottom w:val="nil"/>
          <w:right w:val="nil"/>
          <w:between w:val="nil"/>
        </w:pBdr>
        <w:spacing w:after="113" w:line="276" w:lineRule="auto"/>
        <w:ind w:left="851"/>
        <w:jc w:val="both"/>
        <w:rPr>
          <w:rFonts w:ascii="Arial" w:eastAsia="Arial" w:hAnsi="Arial" w:cs="Arial"/>
          <w:sz w:val="24"/>
          <w:szCs w:val="24"/>
          <w:lang w:val="en-US"/>
        </w:rPr>
      </w:pPr>
      <w:r w:rsidRPr="00D84FCD">
        <w:rPr>
          <w:rFonts w:ascii="Arial" w:eastAsia="Arial" w:hAnsi="Arial" w:cs="Arial"/>
          <w:sz w:val="24"/>
          <w:szCs w:val="24"/>
          <w:lang w:val="en-US"/>
        </w:rPr>
        <w:t xml:space="preserve">Use of </w:t>
      </w:r>
      <w:r>
        <w:rPr>
          <w:rFonts w:ascii="Arial" w:eastAsia="Arial" w:hAnsi="Arial" w:cs="Arial"/>
          <w:sz w:val="24"/>
          <w:szCs w:val="24"/>
          <w:lang w:val="en-US"/>
        </w:rPr>
        <w:t xml:space="preserve">the HPEI </w:t>
      </w:r>
      <w:r w:rsidRPr="00D84FCD">
        <w:rPr>
          <w:rFonts w:ascii="Arial" w:eastAsia="Arial" w:hAnsi="Arial" w:cs="Arial"/>
          <w:sz w:val="24"/>
          <w:szCs w:val="24"/>
          <w:lang w:val="en-US"/>
        </w:rPr>
        <w:t>LMS to ensure quality learning with the use of distance learning technologies and provi</w:t>
      </w:r>
      <w:r>
        <w:rPr>
          <w:rFonts w:ascii="Arial" w:eastAsia="Arial" w:hAnsi="Arial" w:cs="Arial"/>
          <w:sz w:val="24"/>
          <w:szCs w:val="24"/>
          <w:lang w:val="en-US"/>
        </w:rPr>
        <w:t>sion of</w:t>
      </w:r>
      <w:r w:rsidRPr="00D84FCD">
        <w:rPr>
          <w:rFonts w:ascii="Arial" w:eastAsia="Arial" w:hAnsi="Arial" w:cs="Arial"/>
          <w:sz w:val="24"/>
          <w:szCs w:val="24"/>
          <w:lang w:val="en-US"/>
        </w:rPr>
        <w:t xml:space="preserve"> regular technical support to students and faculty.</w:t>
      </w:r>
    </w:p>
    <w:p w14:paraId="054045E8" w14:textId="0B12127E" w:rsidR="00037213" w:rsidRPr="007D223F" w:rsidRDefault="007D223F" w:rsidP="00037213">
      <w:pPr>
        <w:numPr>
          <w:ilvl w:val="0"/>
          <w:numId w:val="11"/>
        </w:numPr>
        <w:spacing w:after="113" w:line="276" w:lineRule="auto"/>
        <w:ind w:left="426"/>
        <w:jc w:val="both"/>
        <w:rPr>
          <w:rFonts w:ascii="Arial" w:hAnsi="Arial" w:cs="Arial"/>
          <w:sz w:val="24"/>
          <w:szCs w:val="24"/>
          <w:lang w:val="en-US"/>
        </w:rPr>
      </w:pPr>
      <w:r w:rsidRPr="00106F02">
        <w:rPr>
          <w:rFonts w:ascii="Arial" w:eastAsia="Arial" w:hAnsi="Arial" w:cs="Arial"/>
          <w:b/>
          <w:bCs/>
          <w:color w:val="000000" w:themeColor="text1"/>
          <w:sz w:val="24"/>
          <w:szCs w:val="24"/>
          <w:lang w:val="en-US"/>
        </w:rPr>
        <w:t>System of approval, monitoring and update of educational programs (hereinafter - EP)</w:t>
      </w:r>
      <w:r w:rsidRPr="007D223F">
        <w:rPr>
          <w:rFonts w:ascii="Arial" w:eastAsia="Arial" w:hAnsi="Arial" w:cs="Arial"/>
          <w:color w:val="000000" w:themeColor="text1"/>
          <w:sz w:val="24"/>
          <w:szCs w:val="24"/>
          <w:lang w:val="en-US"/>
        </w:rPr>
        <w:t xml:space="preserve"> - the mechanism and procedures for reviewing, approving and updating </w:t>
      </w:r>
      <w:r w:rsidRPr="009356A9">
        <w:rPr>
          <w:rFonts w:ascii="Arial" w:eastAsia="Arial" w:hAnsi="Arial" w:cs="Arial"/>
          <w:color w:val="000000" w:themeColor="text1"/>
          <w:sz w:val="24"/>
          <w:szCs w:val="24"/>
          <w:lang w:val="en-US"/>
        </w:rPr>
        <w:t>EP</w:t>
      </w:r>
      <w:r w:rsidR="009356A9" w:rsidRPr="009356A9">
        <w:rPr>
          <w:rFonts w:ascii="Arial" w:eastAsia="Arial" w:hAnsi="Arial" w:cs="Arial"/>
          <w:color w:val="000000" w:themeColor="text1"/>
          <w:sz w:val="24"/>
          <w:szCs w:val="24"/>
          <w:lang w:val="en-US"/>
        </w:rPr>
        <w:t>s</w:t>
      </w:r>
      <w:r w:rsidRPr="007D223F">
        <w:rPr>
          <w:rFonts w:ascii="Arial" w:eastAsia="Arial" w:hAnsi="Arial" w:cs="Arial"/>
          <w:color w:val="000000" w:themeColor="text1"/>
          <w:sz w:val="24"/>
          <w:szCs w:val="24"/>
          <w:lang w:val="en-US"/>
        </w:rPr>
        <w:t xml:space="preserve"> and the logical sequence of the content of</w:t>
      </w:r>
      <w:r w:rsidR="00922E3B">
        <w:rPr>
          <w:rFonts w:ascii="Arial" w:eastAsia="Arial" w:hAnsi="Arial" w:cs="Arial"/>
          <w:color w:val="000000" w:themeColor="text1"/>
          <w:sz w:val="24"/>
          <w:szCs w:val="24"/>
          <w:lang w:val="en-US"/>
        </w:rPr>
        <w:t xml:space="preserve"> curricula</w:t>
      </w:r>
      <w:r w:rsidRPr="007D223F">
        <w:rPr>
          <w:rFonts w:ascii="Arial" w:eastAsia="Arial" w:hAnsi="Arial" w:cs="Arial"/>
          <w:color w:val="000000" w:themeColor="text1"/>
          <w:sz w:val="24"/>
          <w:szCs w:val="24"/>
          <w:lang w:val="en-US"/>
        </w:rPr>
        <w:t>.</w:t>
      </w:r>
    </w:p>
    <w:p w14:paraId="0DC69A85" w14:textId="075D6DE2" w:rsidR="00037213" w:rsidRPr="00922E3B" w:rsidRDefault="00922E3B" w:rsidP="00037213">
      <w:pPr>
        <w:numPr>
          <w:ilvl w:val="0"/>
          <w:numId w:val="6"/>
        </w:numPr>
        <w:pBdr>
          <w:top w:val="nil"/>
          <w:left w:val="nil"/>
          <w:bottom w:val="nil"/>
          <w:right w:val="nil"/>
          <w:between w:val="nil"/>
        </w:pBdr>
        <w:spacing w:after="0" w:line="276" w:lineRule="auto"/>
        <w:ind w:left="851"/>
        <w:jc w:val="both"/>
        <w:rPr>
          <w:rFonts w:ascii="Arial" w:eastAsia="Arial" w:hAnsi="Arial" w:cs="Arial"/>
          <w:sz w:val="24"/>
          <w:szCs w:val="24"/>
          <w:lang w:val="en-US"/>
        </w:rPr>
      </w:pPr>
      <w:r>
        <w:rPr>
          <w:rFonts w:ascii="Arial" w:eastAsia="Arial" w:hAnsi="Arial" w:cs="Arial"/>
          <w:sz w:val="24"/>
          <w:szCs w:val="24"/>
          <w:lang w:val="en-US"/>
        </w:rPr>
        <w:t>P</w:t>
      </w:r>
      <w:r w:rsidRPr="00922E3B">
        <w:rPr>
          <w:rFonts w:ascii="Arial" w:eastAsia="Arial" w:hAnsi="Arial" w:cs="Arial"/>
          <w:sz w:val="24"/>
          <w:szCs w:val="24"/>
          <w:lang w:val="en-US"/>
        </w:rPr>
        <w:t>resence of procedures for the development, approval and implementation of educational programs, nature of interaction between structural units of the university and employers involved in these processes.</w:t>
      </w:r>
    </w:p>
    <w:p w14:paraId="17228D80" w14:textId="421C99EE" w:rsidR="00037213" w:rsidRPr="00922E3B" w:rsidRDefault="00922E3B" w:rsidP="00037213">
      <w:pPr>
        <w:numPr>
          <w:ilvl w:val="0"/>
          <w:numId w:val="6"/>
        </w:numPr>
        <w:pBdr>
          <w:top w:val="nil"/>
          <w:left w:val="nil"/>
          <w:bottom w:val="nil"/>
          <w:right w:val="nil"/>
          <w:between w:val="nil"/>
        </w:pBdr>
        <w:spacing w:after="0" w:line="276" w:lineRule="auto"/>
        <w:ind w:left="851"/>
        <w:jc w:val="both"/>
        <w:rPr>
          <w:rFonts w:ascii="Arial" w:eastAsia="Arial" w:hAnsi="Arial" w:cs="Arial"/>
          <w:sz w:val="24"/>
          <w:szCs w:val="24"/>
          <w:lang w:val="en-US"/>
        </w:rPr>
      </w:pPr>
      <w:r w:rsidRPr="00922E3B">
        <w:rPr>
          <w:rFonts w:ascii="Arial" w:eastAsia="Arial" w:hAnsi="Arial" w:cs="Arial"/>
          <w:sz w:val="24"/>
          <w:szCs w:val="24"/>
          <w:lang w:val="en-US"/>
        </w:rPr>
        <w:t xml:space="preserve">Logical sequence of </w:t>
      </w:r>
      <w:r>
        <w:rPr>
          <w:rFonts w:ascii="Arial" w:eastAsia="Arial" w:hAnsi="Arial" w:cs="Arial"/>
          <w:sz w:val="24"/>
          <w:szCs w:val="24"/>
          <w:lang w:val="en-US"/>
        </w:rPr>
        <w:t>courses</w:t>
      </w:r>
      <w:r w:rsidRPr="00922E3B">
        <w:rPr>
          <w:rFonts w:ascii="Arial" w:eastAsia="Arial" w:hAnsi="Arial" w:cs="Arial"/>
          <w:sz w:val="24"/>
          <w:szCs w:val="24"/>
          <w:lang w:val="en-US"/>
        </w:rPr>
        <w:t xml:space="preserve"> and reflection of best world practices in curricula and </w:t>
      </w:r>
      <w:r>
        <w:rPr>
          <w:rFonts w:ascii="Arial" w:eastAsia="Arial" w:hAnsi="Arial" w:cs="Arial"/>
          <w:sz w:val="24"/>
          <w:szCs w:val="24"/>
          <w:lang w:val="en-US"/>
        </w:rPr>
        <w:t>educational</w:t>
      </w:r>
      <w:r w:rsidRPr="00922E3B">
        <w:rPr>
          <w:rFonts w:ascii="Arial" w:eastAsia="Arial" w:hAnsi="Arial" w:cs="Arial"/>
          <w:sz w:val="24"/>
          <w:szCs w:val="24"/>
          <w:lang w:val="en-US"/>
        </w:rPr>
        <w:t xml:space="preserve"> programs, taking into account the balance of basic knowledge of higher education, developing key competencies, intellectual and academic skills, reflecting the changing requirements of society, as well as the scope of freedom of choice of </w:t>
      </w:r>
      <w:r>
        <w:rPr>
          <w:rFonts w:ascii="Arial" w:eastAsia="Arial" w:hAnsi="Arial" w:cs="Arial"/>
          <w:sz w:val="24"/>
          <w:szCs w:val="24"/>
          <w:lang w:val="en-US"/>
        </w:rPr>
        <w:t>courses</w:t>
      </w:r>
      <w:r w:rsidRPr="00922E3B">
        <w:rPr>
          <w:rFonts w:ascii="Arial" w:eastAsia="Arial" w:hAnsi="Arial" w:cs="Arial"/>
          <w:sz w:val="24"/>
          <w:szCs w:val="24"/>
          <w:lang w:val="en-US"/>
        </w:rPr>
        <w:t>.</w:t>
      </w:r>
    </w:p>
    <w:p w14:paraId="239B2F49" w14:textId="7F81097E" w:rsidR="00037213" w:rsidRPr="00922E3B" w:rsidRDefault="00922E3B" w:rsidP="00037213">
      <w:pPr>
        <w:numPr>
          <w:ilvl w:val="0"/>
          <w:numId w:val="6"/>
        </w:numPr>
        <w:pBdr>
          <w:top w:val="nil"/>
          <w:left w:val="nil"/>
          <w:bottom w:val="nil"/>
          <w:right w:val="nil"/>
          <w:between w:val="nil"/>
        </w:pBdr>
        <w:spacing w:after="113" w:line="276" w:lineRule="auto"/>
        <w:ind w:left="851"/>
        <w:jc w:val="both"/>
        <w:rPr>
          <w:rFonts w:ascii="Arial" w:eastAsia="Arial" w:hAnsi="Arial" w:cs="Arial"/>
          <w:sz w:val="24"/>
          <w:szCs w:val="24"/>
          <w:lang w:val="en-US"/>
        </w:rPr>
      </w:pPr>
      <w:r w:rsidRPr="00922E3B">
        <w:rPr>
          <w:rFonts w:ascii="Arial" w:eastAsia="Arial" w:hAnsi="Arial" w:cs="Arial"/>
          <w:sz w:val="24"/>
          <w:szCs w:val="24"/>
          <w:lang w:val="en-US"/>
        </w:rPr>
        <w:t>Presence in educational programs of components for preparation for professional activity, taking into account the mechanism of interaction with corporate and/or industrial sectors.</w:t>
      </w:r>
    </w:p>
    <w:p w14:paraId="1371B773" w14:textId="51252E1B" w:rsidR="00037213" w:rsidRPr="00922E3B" w:rsidRDefault="00922E3B" w:rsidP="00037213">
      <w:pPr>
        <w:numPr>
          <w:ilvl w:val="0"/>
          <w:numId w:val="11"/>
        </w:numPr>
        <w:spacing w:after="113" w:line="276" w:lineRule="auto"/>
        <w:ind w:left="426"/>
        <w:jc w:val="both"/>
        <w:rPr>
          <w:rFonts w:ascii="Arial" w:hAnsi="Arial" w:cs="Arial"/>
          <w:sz w:val="24"/>
          <w:szCs w:val="24"/>
          <w:lang w:val="en-US"/>
        </w:rPr>
      </w:pPr>
      <w:r w:rsidRPr="00922E3B">
        <w:rPr>
          <w:rFonts w:ascii="Arial" w:eastAsia="Arial" w:hAnsi="Arial" w:cs="Arial"/>
          <w:b/>
          <w:bCs/>
          <w:sz w:val="24"/>
          <w:szCs w:val="24"/>
          <w:lang w:val="en-US"/>
        </w:rPr>
        <w:lastRenderedPageBreak/>
        <w:t>Faculty</w:t>
      </w:r>
      <w:r w:rsidRPr="00922E3B">
        <w:rPr>
          <w:rFonts w:ascii="Arial" w:eastAsia="Arial" w:hAnsi="Arial" w:cs="Arial"/>
          <w:sz w:val="24"/>
          <w:szCs w:val="24"/>
          <w:lang w:val="en-US"/>
        </w:rPr>
        <w:t xml:space="preserve"> - mechanisms for transparent and competitive faculty engagement and academic ethics controls.</w:t>
      </w:r>
    </w:p>
    <w:p w14:paraId="0C976589" w14:textId="7E6D3D6B" w:rsidR="00037213" w:rsidRPr="00922E3B" w:rsidRDefault="00922E3B" w:rsidP="00037213">
      <w:pPr>
        <w:numPr>
          <w:ilvl w:val="0"/>
          <w:numId w:val="7"/>
        </w:numPr>
        <w:pBdr>
          <w:top w:val="nil"/>
          <w:left w:val="nil"/>
          <w:bottom w:val="nil"/>
          <w:right w:val="nil"/>
          <w:between w:val="nil"/>
        </w:pBdr>
        <w:spacing w:after="0" w:line="276" w:lineRule="auto"/>
        <w:ind w:left="851" w:hanging="425"/>
        <w:jc w:val="both"/>
        <w:rPr>
          <w:rFonts w:ascii="Arial" w:eastAsia="Arial" w:hAnsi="Arial" w:cs="Arial"/>
          <w:sz w:val="24"/>
          <w:szCs w:val="24"/>
          <w:lang w:val="en-US"/>
        </w:rPr>
      </w:pPr>
      <w:r w:rsidRPr="00922E3B">
        <w:rPr>
          <w:rFonts w:ascii="Arial" w:eastAsia="Arial" w:hAnsi="Arial" w:cs="Arial"/>
          <w:sz w:val="24"/>
          <w:szCs w:val="24"/>
          <w:lang w:val="en-US"/>
        </w:rPr>
        <w:t>Procedures and mechanism for competitive faculty recruitment, and controls on transparency of procedures.</w:t>
      </w:r>
    </w:p>
    <w:p w14:paraId="271EF96F" w14:textId="4F5C150F" w:rsidR="00037213" w:rsidRPr="00922E3B" w:rsidRDefault="00922E3B" w:rsidP="00037213">
      <w:pPr>
        <w:numPr>
          <w:ilvl w:val="0"/>
          <w:numId w:val="7"/>
        </w:numPr>
        <w:pBdr>
          <w:top w:val="nil"/>
          <w:left w:val="nil"/>
          <w:bottom w:val="nil"/>
          <w:right w:val="nil"/>
          <w:between w:val="nil"/>
        </w:pBdr>
        <w:spacing w:after="0" w:line="276" w:lineRule="auto"/>
        <w:ind w:left="851" w:hanging="425"/>
        <w:jc w:val="both"/>
        <w:rPr>
          <w:rFonts w:ascii="Arial" w:eastAsia="Arial" w:hAnsi="Arial" w:cs="Arial"/>
          <w:sz w:val="24"/>
          <w:szCs w:val="24"/>
          <w:lang w:val="en-US"/>
        </w:rPr>
      </w:pPr>
      <w:r w:rsidRPr="00922E3B">
        <w:rPr>
          <w:rFonts w:ascii="Arial" w:eastAsia="Arial" w:hAnsi="Arial" w:cs="Arial"/>
          <w:sz w:val="24"/>
          <w:szCs w:val="24"/>
          <w:lang w:val="en-US"/>
        </w:rPr>
        <w:t>Faculty members</w:t>
      </w:r>
      <w:r>
        <w:rPr>
          <w:rFonts w:ascii="Arial" w:eastAsia="Arial" w:hAnsi="Arial" w:cs="Arial"/>
          <w:sz w:val="24"/>
          <w:szCs w:val="24"/>
          <w:lang w:val="en-US"/>
        </w:rPr>
        <w:t>’</w:t>
      </w:r>
      <w:r w:rsidRPr="00922E3B">
        <w:rPr>
          <w:rFonts w:ascii="Arial" w:eastAsia="Arial" w:hAnsi="Arial" w:cs="Arial"/>
          <w:sz w:val="24"/>
          <w:szCs w:val="24"/>
          <w:lang w:val="en-US"/>
        </w:rPr>
        <w:t xml:space="preserve"> understanding of their role in </w:t>
      </w:r>
      <w:r>
        <w:rPr>
          <w:rFonts w:ascii="Arial" w:eastAsia="Arial" w:hAnsi="Arial" w:cs="Arial"/>
          <w:sz w:val="24"/>
          <w:szCs w:val="24"/>
          <w:lang w:val="en-US"/>
        </w:rPr>
        <w:t>trainin</w:t>
      </w:r>
      <w:r w:rsidRPr="00922E3B">
        <w:rPr>
          <w:rFonts w:ascii="Arial" w:eastAsia="Arial" w:hAnsi="Arial" w:cs="Arial"/>
          <w:sz w:val="24"/>
          <w:szCs w:val="24"/>
          <w:lang w:val="en-US"/>
        </w:rPr>
        <w:t xml:space="preserve">g a harmoniously developed graduate and the extent to which this understanding is reflected in the expected </w:t>
      </w:r>
      <w:r>
        <w:rPr>
          <w:rFonts w:ascii="Arial" w:eastAsia="Arial" w:hAnsi="Arial" w:cs="Arial"/>
          <w:sz w:val="24"/>
          <w:szCs w:val="24"/>
          <w:lang w:val="en-US"/>
        </w:rPr>
        <w:t xml:space="preserve">learning </w:t>
      </w:r>
      <w:r w:rsidRPr="00922E3B">
        <w:rPr>
          <w:rFonts w:ascii="Arial" w:eastAsia="Arial" w:hAnsi="Arial" w:cs="Arial"/>
          <w:sz w:val="24"/>
          <w:szCs w:val="24"/>
          <w:lang w:val="en-US"/>
        </w:rPr>
        <w:t>outcomes as part of the syllabus, including teaching in a distance learning format.</w:t>
      </w:r>
    </w:p>
    <w:p w14:paraId="6A53E7CC" w14:textId="30B12C17" w:rsidR="00037213" w:rsidRPr="00922E3B" w:rsidRDefault="00922E3B" w:rsidP="00037213">
      <w:pPr>
        <w:numPr>
          <w:ilvl w:val="0"/>
          <w:numId w:val="7"/>
        </w:numPr>
        <w:pBdr>
          <w:top w:val="nil"/>
          <w:left w:val="nil"/>
          <w:bottom w:val="nil"/>
          <w:right w:val="nil"/>
          <w:between w:val="nil"/>
        </w:pBdr>
        <w:spacing w:after="0" w:line="276" w:lineRule="auto"/>
        <w:ind w:left="851" w:hanging="425"/>
        <w:jc w:val="both"/>
        <w:rPr>
          <w:rFonts w:ascii="Arial" w:eastAsia="Arial" w:hAnsi="Arial" w:cs="Arial"/>
          <w:sz w:val="24"/>
          <w:szCs w:val="24"/>
          <w:lang w:val="en-US"/>
        </w:rPr>
      </w:pPr>
      <w:r w:rsidRPr="00922E3B">
        <w:rPr>
          <w:rFonts w:ascii="Arial" w:eastAsia="Arial" w:hAnsi="Arial" w:cs="Arial"/>
          <w:sz w:val="24"/>
          <w:szCs w:val="24"/>
          <w:lang w:val="en-US"/>
        </w:rPr>
        <w:t>Faculty members</w:t>
      </w:r>
      <w:r>
        <w:rPr>
          <w:rFonts w:ascii="Arial" w:eastAsia="Arial" w:hAnsi="Arial" w:cs="Arial"/>
          <w:sz w:val="24"/>
          <w:szCs w:val="24"/>
          <w:lang w:val="en-US"/>
        </w:rPr>
        <w:t>’</w:t>
      </w:r>
      <w:r w:rsidRPr="00922E3B">
        <w:rPr>
          <w:rFonts w:ascii="Arial" w:eastAsia="Arial" w:hAnsi="Arial" w:cs="Arial"/>
          <w:sz w:val="24"/>
          <w:szCs w:val="24"/>
          <w:lang w:val="en-US"/>
        </w:rPr>
        <w:t xml:space="preserve"> understanding of their role in </w:t>
      </w:r>
      <w:r>
        <w:rPr>
          <w:rFonts w:ascii="Arial" w:eastAsia="Arial" w:hAnsi="Arial" w:cs="Arial"/>
          <w:sz w:val="24"/>
          <w:szCs w:val="24"/>
          <w:lang w:val="en-US"/>
        </w:rPr>
        <w:t xml:space="preserve">training </w:t>
      </w:r>
      <w:r w:rsidRPr="00922E3B">
        <w:rPr>
          <w:rFonts w:ascii="Arial" w:eastAsia="Arial" w:hAnsi="Arial" w:cs="Arial"/>
          <w:sz w:val="24"/>
          <w:szCs w:val="24"/>
          <w:lang w:val="en-US"/>
        </w:rPr>
        <w:t>an honest graduate and the extent to which this understanding is reflected in the academic policies of the course as part of the syllabus.</w:t>
      </w:r>
    </w:p>
    <w:p w14:paraId="2FF05A19" w14:textId="5E6759AE" w:rsidR="00037213" w:rsidRPr="00922E3B" w:rsidRDefault="00922E3B" w:rsidP="00037213">
      <w:pPr>
        <w:numPr>
          <w:ilvl w:val="0"/>
          <w:numId w:val="7"/>
        </w:numPr>
        <w:pBdr>
          <w:top w:val="nil"/>
          <w:left w:val="nil"/>
          <w:bottom w:val="nil"/>
          <w:right w:val="nil"/>
          <w:between w:val="nil"/>
        </w:pBdr>
        <w:spacing w:after="113" w:line="276" w:lineRule="auto"/>
        <w:ind w:left="851" w:hanging="425"/>
        <w:jc w:val="both"/>
        <w:rPr>
          <w:rFonts w:ascii="Arial" w:eastAsia="Arial" w:hAnsi="Arial" w:cs="Arial"/>
          <w:sz w:val="24"/>
          <w:szCs w:val="24"/>
          <w:lang w:val="en-US"/>
        </w:rPr>
      </w:pPr>
      <w:r>
        <w:rPr>
          <w:rFonts w:ascii="Arial" w:eastAsia="Arial" w:hAnsi="Arial" w:cs="Arial"/>
          <w:sz w:val="24"/>
          <w:szCs w:val="24"/>
          <w:lang w:val="en-US"/>
        </w:rPr>
        <w:t xml:space="preserve">Existing </w:t>
      </w:r>
      <w:r w:rsidRPr="00922E3B">
        <w:rPr>
          <w:rFonts w:ascii="Arial" w:eastAsia="Arial" w:hAnsi="Arial" w:cs="Arial"/>
          <w:sz w:val="24"/>
          <w:szCs w:val="24"/>
          <w:lang w:val="en-US"/>
        </w:rPr>
        <w:t>examples (facts) of faculty violations of the university</w:t>
      </w:r>
      <w:r w:rsidR="00E27274">
        <w:rPr>
          <w:rFonts w:ascii="Arial" w:eastAsia="Arial" w:hAnsi="Arial" w:cs="Arial"/>
          <w:sz w:val="24"/>
          <w:szCs w:val="24"/>
          <w:lang w:val="en-US"/>
        </w:rPr>
        <w:t>’s</w:t>
      </w:r>
      <w:r w:rsidRPr="00922E3B">
        <w:rPr>
          <w:rFonts w:ascii="Arial" w:eastAsia="Arial" w:hAnsi="Arial" w:cs="Arial"/>
          <w:sz w:val="24"/>
          <w:szCs w:val="24"/>
          <w:lang w:val="en-US"/>
        </w:rPr>
        <w:t xml:space="preserve"> code of academic integrity with a mechanism for identifying and remedying them, which speaks to the workings of these procedures at the university.</w:t>
      </w:r>
    </w:p>
    <w:p w14:paraId="32BD3485" w14:textId="062E5D9F" w:rsidR="00037213" w:rsidRPr="00E27274" w:rsidRDefault="00E27274" w:rsidP="00037213">
      <w:pPr>
        <w:numPr>
          <w:ilvl w:val="0"/>
          <w:numId w:val="11"/>
        </w:numPr>
        <w:tabs>
          <w:tab w:val="left" w:pos="851"/>
        </w:tabs>
        <w:spacing w:after="113" w:line="276" w:lineRule="auto"/>
        <w:ind w:left="426"/>
        <w:jc w:val="both"/>
        <w:rPr>
          <w:rFonts w:ascii="Arial" w:hAnsi="Arial" w:cs="Arial"/>
          <w:sz w:val="24"/>
          <w:szCs w:val="24"/>
          <w:lang w:val="en-US"/>
        </w:rPr>
      </w:pPr>
      <w:r w:rsidRPr="00E27274">
        <w:rPr>
          <w:rFonts w:ascii="Arial" w:eastAsia="Arial" w:hAnsi="Arial" w:cs="Arial"/>
          <w:b/>
          <w:bCs/>
          <w:sz w:val="24"/>
          <w:szCs w:val="24"/>
          <w:lang w:val="en-US"/>
        </w:rPr>
        <w:t>Student Transcript</w:t>
      </w:r>
      <w:r w:rsidRPr="00E27274">
        <w:rPr>
          <w:rFonts w:ascii="Arial" w:eastAsia="Arial" w:hAnsi="Arial" w:cs="Arial"/>
          <w:sz w:val="24"/>
          <w:szCs w:val="24"/>
          <w:lang w:val="en-US"/>
        </w:rPr>
        <w:t xml:space="preserve"> - </w:t>
      </w:r>
      <w:r>
        <w:rPr>
          <w:rFonts w:ascii="Arial" w:eastAsia="Arial" w:hAnsi="Arial" w:cs="Arial"/>
          <w:sz w:val="24"/>
          <w:szCs w:val="24"/>
          <w:lang w:val="en-US"/>
        </w:rPr>
        <w:t>t</w:t>
      </w:r>
      <w:r w:rsidRPr="00E27274">
        <w:rPr>
          <w:rFonts w:ascii="Arial" w:eastAsia="Arial" w:hAnsi="Arial" w:cs="Arial"/>
          <w:sz w:val="24"/>
          <w:szCs w:val="24"/>
          <w:lang w:val="en-US"/>
        </w:rPr>
        <w:t>he completeness of academic and non-academic record reflections on the student's academic transcript.</w:t>
      </w:r>
    </w:p>
    <w:p w14:paraId="1F949814" w14:textId="55CB14DE" w:rsidR="00037213" w:rsidRPr="00E27274" w:rsidRDefault="00E27274" w:rsidP="00037213">
      <w:pPr>
        <w:numPr>
          <w:ilvl w:val="0"/>
          <w:numId w:val="8"/>
        </w:numPr>
        <w:pBdr>
          <w:top w:val="nil"/>
          <w:left w:val="nil"/>
          <w:bottom w:val="nil"/>
          <w:right w:val="nil"/>
          <w:between w:val="nil"/>
        </w:pBdr>
        <w:spacing w:after="0" w:line="276" w:lineRule="auto"/>
        <w:ind w:left="851"/>
        <w:jc w:val="both"/>
        <w:rPr>
          <w:rFonts w:ascii="Arial" w:eastAsia="Arial" w:hAnsi="Arial" w:cs="Arial"/>
          <w:sz w:val="24"/>
          <w:szCs w:val="24"/>
          <w:lang w:val="en-US"/>
        </w:rPr>
      </w:pPr>
      <w:r w:rsidRPr="00E27274">
        <w:rPr>
          <w:rFonts w:ascii="Arial" w:eastAsia="Arial" w:hAnsi="Arial" w:cs="Arial"/>
          <w:sz w:val="24"/>
          <w:szCs w:val="24"/>
          <w:lang w:val="en-US"/>
        </w:rPr>
        <w:t>Procedures and mechanisms for recording learning outcomes, academic and non</w:t>
      </w:r>
      <w:r>
        <w:rPr>
          <w:rFonts w:ascii="Arial" w:eastAsia="Arial" w:hAnsi="Arial" w:cs="Arial"/>
          <w:sz w:val="24"/>
          <w:szCs w:val="24"/>
          <w:lang w:val="en-US"/>
        </w:rPr>
        <w:t>-</w:t>
      </w:r>
      <w:r w:rsidRPr="00E27274">
        <w:rPr>
          <w:rFonts w:ascii="Arial" w:eastAsia="Arial" w:hAnsi="Arial" w:cs="Arial"/>
          <w:sz w:val="24"/>
          <w:szCs w:val="24"/>
          <w:lang w:val="en-US"/>
        </w:rPr>
        <w:t>academic incentives and penalties on the student's transcript.</w:t>
      </w:r>
    </w:p>
    <w:p w14:paraId="229AEEDD" w14:textId="4274176C" w:rsidR="00037213" w:rsidRPr="00E27274" w:rsidRDefault="00E27274" w:rsidP="00037213">
      <w:pPr>
        <w:numPr>
          <w:ilvl w:val="0"/>
          <w:numId w:val="8"/>
        </w:numPr>
        <w:pBdr>
          <w:top w:val="nil"/>
          <w:left w:val="nil"/>
          <w:bottom w:val="nil"/>
          <w:right w:val="nil"/>
          <w:between w:val="nil"/>
        </w:pBdr>
        <w:spacing w:after="0" w:line="276" w:lineRule="auto"/>
        <w:ind w:left="851"/>
        <w:jc w:val="both"/>
        <w:rPr>
          <w:rFonts w:ascii="Arial" w:eastAsia="Arial" w:hAnsi="Arial" w:cs="Arial"/>
          <w:sz w:val="24"/>
          <w:szCs w:val="24"/>
          <w:lang w:val="en-US"/>
        </w:rPr>
      </w:pPr>
      <w:r w:rsidRPr="00E27274">
        <w:rPr>
          <w:rFonts w:ascii="Arial" w:eastAsia="Arial" w:hAnsi="Arial" w:cs="Arial"/>
          <w:sz w:val="24"/>
          <w:szCs w:val="24"/>
          <w:lang w:val="en-US"/>
        </w:rPr>
        <w:t>Confirmation of security level and classification of access to records on the student's transcript.</w:t>
      </w:r>
    </w:p>
    <w:p w14:paraId="2CCA6595" w14:textId="52CCA0E6" w:rsidR="00037213" w:rsidRPr="00E27274" w:rsidRDefault="00E27274" w:rsidP="00037213">
      <w:pPr>
        <w:numPr>
          <w:ilvl w:val="0"/>
          <w:numId w:val="8"/>
        </w:numPr>
        <w:pBdr>
          <w:top w:val="nil"/>
          <w:left w:val="nil"/>
          <w:bottom w:val="nil"/>
          <w:right w:val="nil"/>
          <w:between w:val="nil"/>
        </w:pBdr>
        <w:spacing w:after="113" w:line="276" w:lineRule="auto"/>
        <w:ind w:left="851"/>
        <w:jc w:val="both"/>
        <w:rPr>
          <w:rFonts w:ascii="Arial" w:eastAsia="Arial" w:hAnsi="Arial" w:cs="Arial"/>
          <w:sz w:val="24"/>
          <w:szCs w:val="24"/>
          <w:lang w:val="en-US"/>
        </w:rPr>
      </w:pPr>
      <w:r w:rsidRPr="00E27274">
        <w:rPr>
          <w:rFonts w:ascii="Arial" w:eastAsia="Arial" w:hAnsi="Arial" w:cs="Arial"/>
          <w:sz w:val="24"/>
          <w:szCs w:val="24"/>
          <w:lang w:val="en-US"/>
        </w:rPr>
        <w:t xml:space="preserve">Existing examples (facts) of student violations of the university's </w:t>
      </w:r>
      <w:r w:rsidRPr="00922E3B">
        <w:rPr>
          <w:rFonts w:ascii="Arial" w:eastAsia="Arial" w:hAnsi="Arial" w:cs="Arial"/>
          <w:sz w:val="24"/>
          <w:szCs w:val="24"/>
          <w:lang w:val="en-US"/>
        </w:rPr>
        <w:t>code of academic integrity</w:t>
      </w:r>
      <w:r w:rsidRPr="00E27274">
        <w:rPr>
          <w:rFonts w:ascii="Arial" w:eastAsia="Arial" w:hAnsi="Arial" w:cs="Arial"/>
          <w:sz w:val="24"/>
          <w:szCs w:val="24"/>
          <w:lang w:val="en-US"/>
        </w:rPr>
        <w:t xml:space="preserve"> with a mechanism for identifying and remedying them, </w:t>
      </w:r>
      <w:r>
        <w:rPr>
          <w:rFonts w:ascii="Arial" w:eastAsia="Arial" w:hAnsi="Arial" w:cs="Arial"/>
          <w:sz w:val="24"/>
          <w:szCs w:val="24"/>
          <w:lang w:val="en-US"/>
        </w:rPr>
        <w:t xml:space="preserve">which indicates </w:t>
      </w:r>
      <w:r w:rsidRPr="00E27274">
        <w:rPr>
          <w:rFonts w:ascii="Arial" w:eastAsia="Arial" w:hAnsi="Arial" w:cs="Arial"/>
          <w:sz w:val="24"/>
          <w:szCs w:val="24"/>
          <w:lang w:val="en-US"/>
        </w:rPr>
        <w:t>the university's application of these procedures.</w:t>
      </w:r>
    </w:p>
    <w:p w14:paraId="4689A2A9" w14:textId="11EF3EAA" w:rsidR="00037213" w:rsidRPr="008B1498" w:rsidRDefault="008B1498" w:rsidP="00037213">
      <w:pPr>
        <w:pStyle w:val="a3"/>
        <w:numPr>
          <w:ilvl w:val="0"/>
          <w:numId w:val="11"/>
        </w:numPr>
        <w:pBdr>
          <w:top w:val="nil"/>
          <w:left w:val="nil"/>
          <w:bottom w:val="nil"/>
          <w:right w:val="nil"/>
          <w:between w:val="nil"/>
        </w:pBdr>
        <w:spacing w:after="113" w:line="276" w:lineRule="auto"/>
        <w:ind w:hanging="578"/>
        <w:jc w:val="both"/>
        <w:rPr>
          <w:rFonts w:ascii="Arial" w:eastAsia="Arial" w:hAnsi="Arial" w:cs="Arial"/>
          <w:sz w:val="24"/>
          <w:szCs w:val="24"/>
          <w:lang w:val="en-US"/>
        </w:rPr>
      </w:pPr>
      <w:r w:rsidRPr="008B1498">
        <w:rPr>
          <w:rFonts w:ascii="Arial" w:eastAsia="Arial" w:hAnsi="Arial" w:cs="Arial"/>
          <w:b/>
          <w:bCs/>
          <w:sz w:val="24"/>
          <w:szCs w:val="24"/>
          <w:lang w:val="en-US"/>
        </w:rPr>
        <w:t>Distance learning technologies</w:t>
      </w:r>
      <w:r w:rsidRPr="008B1498">
        <w:rPr>
          <w:rFonts w:ascii="Arial" w:eastAsia="Arial" w:hAnsi="Arial" w:cs="Arial"/>
          <w:sz w:val="24"/>
          <w:szCs w:val="24"/>
          <w:lang w:val="en-US"/>
        </w:rPr>
        <w:t xml:space="preserve"> </w:t>
      </w:r>
      <w:r>
        <w:rPr>
          <w:rFonts w:ascii="Arial" w:eastAsia="Arial" w:hAnsi="Arial" w:cs="Arial"/>
          <w:sz w:val="24"/>
          <w:szCs w:val="24"/>
          <w:lang w:val="en-US"/>
        </w:rPr>
        <w:t>–</w:t>
      </w:r>
      <w:r w:rsidRPr="008B1498">
        <w:rPr>
          <w:rFonts w:ascii="Arial" w:eastAsia="Arial" w:hAnsi="Arial" w:cs="Arial"/>
          <w:sz w:val="24"/>
          <w:szCs w:val="24"/>
          <w:lang w:val="en-US"/>
        </w:rPr>
        <w:t xml:space="preserve"> provi</w:t>
      </w:r>
      <w:r>
        <w:rPr>
          <w:rFonts w:ascii="Arial" w:eastAsia="Arial" w:hAnsi="Arial" w:cs="Arial"/>
          <w:sz w:val="24"/>
          <w:szCs w:val="24"/>
          <w:lang w:val="en-US"/>
        </w:rPr>
        <w:t>ding HPEI</w:t>
      </w:r>
      <w:r w:rsidRPr="008B1498">
        <w:rPr>
          <w:rFonts w:ascii="Arial" w:eastAsia="Arial" w:hAnsi="Arial" w:cs="Arial"/>
          <w:sz w:val="24"/>
          <w:szCs w:val="24"/>
          <w:lang w:val="en-US"/>
        </w:rPr>
        <w:t xml:space="preserve"> for teachers and students </w:t>
      </w:r>
      <w:r>
        <w:rPr>
          <w:rFonts w:ascii="Arial" w:eastAsia="Arial" w:hAnsi="Arial" w:cs="Arial"/>
          <w:sz w:val="24"/>
          <w:szCs w:val="24"/>
          <w:lang w:val="en-US"/>
        </w:rPr>
        <w:t xml:space="preserve">with </w:t>
      </w:r>
      <w:r w:rsidRPr="008B1498">
        <w:rPr>
          <w:rFonts w:ascii="Arial" w:eastAsia="Arial" w:hAnsi="Arial" w:cs="Arial"/>
          <w:sz w:val="24"/>
          <w:szCs w:val="24"/>
          <w:lang w:val="en-US"/>
        </w:rPr>
        <w:t>opportunities for a quality educational process in the context of distance learning.</w:t>
      </w:r>
    </w:p>
    <w:p w14:paraId="3BC2E776" w14:textId="498C2A5E" w:rsidR="00037213" w:rsidRDefault="00037213" w:rsidP="00037213">
      <w:pPr>
        <w:pBdr>
          <w:top w:val="nil"/>
          <w:left w:val="nil"/>
          <w:bottom w:val="nil"/>
          <w:right w:val="nil"/>
          <w:between w:val="nil"/>
        </w:pBdr>
        <w:spacing w:after="113" w:line="276" w:lineRule="auto"/>
        <w:ind w:left="851" w:hanging="282"/>
        <w:jc w:val="both"/>
        <w:rPr>
          <w:rFonts w:ascii="Arial" w:eastAsia="Arial" w:hAnsi="Arial" w:cs="Arial"/>
          <w:sz w:val="24"/>
          <w:szCs w:val="24"/>
          <w:lang w:val="kk-KZ"/>
        </w:rPr>
      </w:pPr>
      <w:r>
        <w:rPr>
          <w:rFonts w:ascii="Arial" w:eastAsia="Arial" w:hAnsi="Arial" w:cs="Arial"/>
          <w:sz w:val="24"/>
          <w:szCs w:val="24"/>
          <w:lang w:val="en-US"/>
        </w:rPr>
        <w:t>a</w:t>
      </w:r>
      <w:r w:rsidRPr="008B1498">
        <w:rPr>
          <w:rFonts w:ascii="Arial" w:eastAsia="Arial" w:hAnsi="Arial" w:cs="Arial"/>
          <w:sz w:val="24"/>
          <w:szCs w:val="24"/>
          <w:lang w:val="en-US"/>
        </w:rPr>
        <w:t>.</w:t>
      </w:r>
      <w:r>
        <w:rPr>
          <w:rFonts w:ascii="Arial" w:eastAsia="Arial" w:hAnsi="Arial" w:cs="Arial"/>
          <w:sz w:val="24"/>
          <w:szCs w:val="24"/>
          <w:lang w:val="kk-KZ"/>
        </w:rPr>
        <w:t xml:space="preserve"> </w:t>
      </w:r>
      <w:r w:rsidR="008B1498" w:rsidRPr="008B1498">
        <w:rPr>
          <w:rFonts w:ascii="Arial" w:eastAsia="Arial" w:hAnsi="Arial" w:cs="Arial"/>
          <w:sz w:val="24"/>
          <w:szCs w:val="24"/>
          <w:lang w:val="kk-KZ"/>
        </w:rPr>
        <w:t>Organization of quality platform and resources for the educational process using distance learning technologies with regular technical support for users.</w:t>
      </w:r>
    </w:p>
    <w:p w14:paraId="5E35C516" w14:textId="7F7FDDA2" w:rsidR="00037213" w:rsidRPr="008B1498" w:rsidRDefault="00037213" w:rsidP="00037213">
      <w:pPr>
        <w:pBdr>
          <w:top w:val="nil"/>
          <w:left w:val="nil"/>
          <w:bottom w:val="nil"/>
          <w:right w:val="nil"/>
          <w:between w:val="nil"/>
        </w:pBdr>
        <w:spacing w:after="113" w:line="276" w:lineRule="auto"/>
        <w:ind w:left="851" w:hanging="282"/>
        <w:jc w:val="both"/>
        <w:rPr>
          <w:rFonts w:ascii="Arial" w:eastAsia="Arial" w:hAnsi="Arial" w:cs="Arial"/>
          <w:sz w:val="24"/>
          <w:szCs w:val="24"/>
          <w:lang w:val="kk-KZ"/>
        </w:rPr>
      </w:pPr>
      <w:r w:rsidRPr="008B1498">
        <w:rPr>
          <w:rFonts w:ascii="Arial" w:eastAsia="Arial" w:hAnsi="Arial" w:cs="Arial"/>
          <w:sz w:val="24"/>
          <w:szCs w:val="24"/>
          <w:lang w:val="kk-KZ"/>
        </w:rPr>
        <w:t xml:space="preserve">b. </w:t>
      </w:r>
      <w:r w:rsidR="008B1498" w:rsidRPr="008B1498">
        <w:rPr>
          <w:rFonts w:ascii="Arial" w:eastAsia="Arial" w:hAnsi="Arial" w:cs="Arial"/>
          <w:sz w:val="24"/>
          <w:szCs w:val="24"/>
          <w:lang w:val="kk-KZ"/>
        </w:rPr>
        <w:t>Supporting the academic community of the HPEI on the formation of electronic means of ensuring academic integrity: corporate accounts, electronic proctoring and recognition of academic dishonesty, online provision of academic services, etc.</w:t>
      </w:r>
    </w:p>
    <w:p w14:paraId="110F2FD6" w14:textId="2F81FD51" w:rsidR="00037213" w:rsidRPr="008B1498" w:rsidRDefault="00037213" w:rsidP="00037213">
      <w:pPr>
        <w:pBdr>
          <w:top w:val="nil"/>
          <w:left w:val="nil"/>
          <w:bottom w:val="nil"/>
          <w:right w:val="nil"/>
          <w:between w:val="nil"/>
        </w:pBdr>
        <w:spacing w:after="113" w:line="276" w:lineRule="auto"/>
        <w:ind w:left="851" w:hanging="282"/>
        <w:jc w:val="both"/>
        <w:rPr>
          <w:rFonts w:ascii="Arial" w:eastAsia="Arial" w:hAnsi="Arial" w:cs="Arial"/>
          <w:sz w:val="24"/>
          <w:szCs w:val="24"/>
          <w:lang w:val="en-US"/>
        </w:rPr>
      </w:pPr>
      <w:r>
        <w:rPr>
          <w:rFonts w:ascii="Arial" w:eastAsia="Arial" w:hAnsi="Arial" w:cs="Arial"/>
          <w:sz w:val="24"/>
          <w:szCs w:val="24"/>
        </w:rPr>
        <w:t>с</w:t>
      </w:r>
      <w:r w:rsidRPr="008B1498">
        <w:rPr>
          <w:rFonts w:ascii="Arial" w:eastAsia="Arial" w:hAnsi="Arial" w:cs="Arial"/>
          <w:sz w:val="24"/>
          <w:szCs w:val="24"/>
          <w:lang w:val="en-US"/>
        </w:rPr>
        <w:t xml:space="preserve">. </w:t>
      </w:r>
      <w:r w:rsidR="008B1498" w:rsidRPr="008B1498">
        <w:rPr>
          <w:rFonts w:ascii="Arial" w:eastAsia="Arial" w:hAnsi="Arial" w:cs="Arial"/>
          <w:sz w:val="24"/>
          <w:szCs w:val="24"/>
          <w:lang w:val="en-US"/>
        </w:rPr>
        <w:t>The online proctoring system must have the capabilities of:</w:t>
      </w:r>
    </w:p>
    <w:p w14:paraId="4AE8E41E" w14:textId="2DA0105C" w:rsidR="008B1498" w:rsidRPr="008B1498" w:rsidRDefault="008B1498" w:rsidP="008B1498">
      <w:pPr>
        <w:pStyle w:val="a3"/>
        <w:numPr>
          <w:ilvl w:val="0"/>
          <w:numId w:val="12"/>
        </w:numPr>
        <w:pBdr>
          <w:top w:val="nil"/>
          <w:left w:val="nil"/>
          <w:bottom w:val="nil"/>
          <w:right w:val="nil"/>
          <w:between w:val="nil"/>
        </w:pBdr>
        <w:spacing w:after="113" w:line="276" w:lineRule="auto"/>
        <w:jc w:val="both"/>
        <w:rPr>
          <w:rFonts w:ascii="Arial" w:eastAsia="Arial" w:hAnsi="Arial" w:cs="Arial"/>
          <w:sz w:val="24"/>
          <w:szCs w:val="24"/>
        </w:rPr>
      </w:pPr>
      <w:r w:rsidRPr="008B1498">
        <w:rPr>
          <w:rFonts w:ascii="Arial" w:eastAsia="Arial" w:hAnsi="Arial" w:cs="Arial"/>
          <w:sz w:val="24"/>
          <w:szCs w:val="24"/>
        </w:rPr>
        <w:t xml:space="preserve">User </w:t>
      </w:r>
      <w:proofErr w:type="spellStart"/>
      <w:r w:rsidRPr="008B1498">
        <w:rPr>
          <w:rFonts w:ascii="Arial" w:eastAsia="Arial" w:hAnsi="Arial" w:cs="Arial"/>
          <w:sz w:val="24"/>
          <w:szCs w:val="24"/>
        </w:rPr>
        <w:t>identification</w:t>
      </w:r>
      <w:proofErr w:type="spellEnd"/>
      <w:r w:rsidRPr="008B1498">
        <w:rPr>
          <w:rFonts w:ascii="Arial" w:eastAsia="Arial" w:hAnsi="Arial" w:cs="Arial"/>
          <w:sz w:val="24"/>
          <w:szCs w:val="24"/>
        </w:rPr>
        <w:t>;</w:t>
      </w:r>
    </w:p>
    <w:p w14:paraId="63842372" w14:textId="52A9EE98" w:rsidR="008B1498" w:rsidRPr="008B1498" w:rsidRDefault="008B1498" w:rsidP="008B1498">
      <w:pPr>
        <w:pStyle w:val="a3"/>
        <w:numPr>
          <w:ilvl w:val="0"/>
          <w:numId w:val="12"/>
        </w:numPr>
        <w:pBdr>
          <w:top w:val="nil"/>
          <w:left w:val="nil"/>
          <w:bottom w:val="nil"/>
          <w:right w:val="nil"/>
          <w:between w:val="nil"/>
        </w:pBdr>
        <w:spacing w:after="113" w:line="276" w:lineRule="auto"/>
        <w:jc w:val="both"/>
        <w:rPr>
          <w:rFonts w:ascii="Arial" w:eastAsia="Arial" w:hAnsi="Arial" w:cs="Arial"/>
          <w:sz w:val="24"/>
          <w:szCs w:val="24"/>
          <w:lang w:val="en-US"/>
        </w:rPr>
      </w:pPr>
      <w:r w:rsidRPr="008B1498">
        <w:rPr>
          <w:rFonts w:ascii="Arial" w:eastAsia="Arial" w:hAnsi="Arial" w:cs="Arial"/>
          <w:sz w:val="24"/>
          <w:szCs w:val="24"/>
          <w:lang w:val="en-US"/>
        </w:rPr>
        <w:t>Continuous video recording of the environment;</w:t>
      </w:r>
    </w:p>
    <w:p w14:paraId="5F50B05E" w14:textId="30221F73" w:rsidR="008B1498" w:rsidRPr="008B1498" w:rsidRDefault="008B1498" w:rsidP="008B1498">
      <w:pPr>
        <w:pStyle w:val="a3"/>
        <w:numPr>
          <w:ilvl w:val="0"/>
          <w:numId w:val="12"/>
        </w:numPr>
        <w:pBdr>
          <w:top w:val="nil"/>
          <w:left w:val="nil"/>
          <w:bottom w:val="nil"/>
          <w:right w:val="nil"/>
          <w:between w:val="nil"/>
        </w:pBdr>
        <w:spacing w:after="113" w:line="276" w:lineRule="auto"/>
        <w:jc w:val="both"/>
        <w:rPr>
          <w:rFonts w:ascii="Arial" w:eastAsia="Arial" w:hAnsi="Arial" w:cs="Arial"/>
          <w:sz w:val="24"/>
          <w:szCs w:val="24"/>
          <w:lang w:val="en-US"/>
        </w:rPr>
      </w:pPr>
      <w:r w:rsidRPr="008B1498">
        <w:rPr>
          <w:rFonts w:ascii="Arial" w:eastAsia="Arial" w:hAnsi="Arial" w:cs="Arial"/>
          <w:sz w:val="24"/>
          <w:szCs w:val="24"/>
          <w:lang w:val="en-US"/>
        </w:rPr>
        <w:lastRenderedPageBreak/>
        <w:t>Continuous recording of the user's screen;</w:t>
      </w:r>
    </w:p>
    <w:p w14:paraId="358AEBD4" w14:textId="05C41AC5" w:rsidR="008B1498" w:rsidRPr="008B1498" w:rsidRDefault="008B1498" w:rsidP="008B1498">
      <w:pPr>
        <w:pStyle w:val="a3"/>
        <w:numPr>
          <w:ilvl w:val="0"/>
          <w:numId w:val="12"/>
        </w:numPr>
        <w:pBdr>
          <w:top w:val="nil"/>
          <w:left w:val="nil"/>
          <w:bottom w:val="nil"/>
          <w:right w:val="nil"/>
          <w:between w:val="nil"/>
        </w:pBdr>
        <w:spacing w:after="113" w:line="276" w:lineRule="auto"/>
        <w:jc w:val="both"/>
        <w:rPr>
          <w:rFonts w:ascii="Arial" w:eastAsia="Arial" w:hAnsi="Arial" w:cs="Arial"/>
          <w:sz w:val="24"/>
          <w:szCs w:val="24"/>
        </w:rPr>
      </w:pPr>
      <w:proofErr w:type="spellStart"/>
      <w:r w:rsidRPr="008B1498">
        <w:rPr>
          <w:rFonts w:ascii="Arial" w:eastAsia="Arial" w:hAnsi="Arial" w:cs="Arial"/>
          <w:sz w:val="24"/>
          <w:szCs w:val="24"/>
        </w:rPr>
        <w:t>Noise</w:t>
      </w:r>
      <w:proofErr w:type="spellEnd"/>
      <w:r w:rsidRPr="008B1498">
        <w:rPr>
          <w:rFonts w:ascii="Arial" w:eastAsia="Arial" w:hAnsi="Arial" w:cs="Arial"/>
          <w:sz w:val="24"/>
          <w:szCs w:val="24"/>
        </w:rPr>
        <w:t xml:space="preserve"> </w:t>
      </w:r>
      <w:proofErr w:type="spellStart"/>
      <w:r w:rsidRPr="008B1498">
        <w:rPr>
          <w:rFonts w:ascii="Arial" w:eastAsia="Arial" w:hAnsi="Arial" w:cs="Arial"/>
          <w:sz w:val="24"/>
          <w:szCs w:val="24"/>
        </w:rPr>
        <w:t>level</w:t>
      </w:r>
      <w:proofErr w:type="spellEnd"/>
      <w:r w:rsidRPr="008B1498">
        <w:rPr>
          <w:rFonts w:ascii="Arial" w:eastAsia="Arial" w:hAnsi="Arial" w:cs="Arial"/>
          <w:sz w:val="24"/>
          <w:szCs w:val="24"/>
        </w:rPr>
        <w:t xml:space="preserve"> </w:t>
      </w:r>
      <w:proofErr w:type="spellStart"/>
      <w:r w:rsidRPr="008B1498">
        <w:rPr>
          <w:rFonts w:ascii="Arial" w:eastAsia="Arial" w:hAnsi="Arial" w:cs="Arial"/>
          <w:sz w:val="24"/>
          <w:szCs w:val="24"/>
        </w:rPr>
        <w:t>monitoring</w:t>
      </w:r>
      <w:proofErr w:type="spellEnd"/>
      <w:r w:rsidRPr="008B1498">
        <w:rPr>
          <w:rFonts w:ascii="Arial" w:eastAsia="Arial" w:hAnsi="Arial" w:cs="Arial"/>
          <w:sz w:val="24"/>
          <w:szCs w:val="24"/>
        </w:rPr>
        <w:t>;</w:t>
      </w:r>
    </w:p>
    <w:p w14:paraId="2D85EA26" w14:textId="3527FAEA" w:rsidR="008B1498" w:rsidRPr="008B1498" w:rsidRDefault="008B1498" w:rsidP="008B1498">
      <w:pPr>
        <w:pStyle w:val="a3"/>
        <w:numPr>
          <w:ilvl w:val="0"/>
          <w:numId w:val="12"/>
        </w:numPr>
        <w:pBdr>
          <w:top w:val="nil"/>
          <w:left w:val="nil"/>
          <w:bottom w:val="nil"/>
          <w:right w:val="nil"/>
          <w:between w:val="nil"/>
        </w:pBdr>
        <w:spacing w:after="113" w:line="276" w:lineRule="auto"/>
        <w:jc w:val="both"/>
        <w:rPr>
          <w:rFonts w:ascii="Arial" w:eastAsia="Arial" w:hAnsi="Arial" w:cs="Arial"/>
          <w:sz w:val="24"/>
          <w:szCs w:val="24"/>
          <w:lang w:val="en-US"/>
        </w:rPr>
      </w:pPr>
      <w:r w:rsidRPr="008B1498">
        <w:rPr>
          <w:rFonts w:ascii="Arial" w:eastAsia="Arial" w:hAnsi="Arial" w:cs="Arial"/>
          <w:sz w:val="24"/>
          <w:szCs w:val="24"/>
          <w:lang w:val="en-US"/>
        </w:rPr>
        <w:t>Prohibit us</w:t>
      </w:r>
      <w:r w:rsidR="009356A9">
        <w:rPr>
          <w:rFonts w:ascii="Arial" w:eastAsia="Arial" w:hAnsi="Arial" w:cs="Arial"/>
          <w:sz w:val="24"/>
          <w:szCs w:val="24"/>
          <w:lang w:val="en-US"/>
        </w:rPr>
        <w:t>ing</w:t>
      </w:r>
      <w:r w:rsidRPr="008B1498">
        <w:rPr>
          <w:rFonts w:ascii="Arial" w:eastAsia="Arial" w:hAnsi="Arial" w:cs="Arial"/>
          <w:sz w:val="24"/>
          <w:szCs w:val="24"/>
          <w:lang w:val="en-US"/>
        </w:rPr>
        <w:t xml:space="preserve"> additional screens;</w:t>
      </w:r>
    </w:p>
    <w:p w14:paraId="05748E3F" w14:textId="58BEE52D" w:rsidR="008B1498" w:rsidRPr="008B1498" w:rsidRDefault="008B1498" w:rsidP="008B1498">
      <w:pPr>
        <w:pStyle w:val="a3"/>
        <w:numPr>
          <w:ilvl w:val="0"/>
          <w:numId w:val="12"/>
        </w:numPr>
        <w:pBdr>
          <w:top w:val="nil"/>
          <w:left w:val="nil"/>
          <w:bottom w:val="nil"/>
          <w:right w:val="nil"/>
          <w:between w:val="nil"/>
        </w:pBdr>
        <w:spacing w:after="113" w:line="276" w:lineRule="auto"/>
        <w:jc w:val="both"/>
        <w:rPr>
          <w:rFonts w:ascii="Arial" w:eastAsia="Arial" w:hAnsi="Arial" w:cs="Arial"/>
          <w:sz w:val="24"/>
          <w:szCs w:val="24"/>
        </w:rPr>
      </w:pPr>
      <w:proofErr w:type="spellStart"/>
      <w:r w:rsidRPr="008B1498">
        <w:rPr>
          <w:rFonts w:ascii="Arial" w:eastAsia="Arial" w:hAnsi="Arial" w:cs="Arial"/>
          <w:sz w:val="24"/>
          <w:szCs w:val="24"/>
        </w:rPr>
        <w:t>Prohibit</w:t>
      </w:r>
      <w:proofErr w:type="spellEnd"/>
      <w:r w:rsidRPr="008B1498">
        <w:rPr>
          <w:rFonts w:ascii="Arial" w:eastAsia="Arial" w:hAnsi="Arial" w:cs="Arial"/>
          <w:sz w:val="24"/>
          <w:szCs w:val="24"/>
        </w:rPr>
        <w:t xml:space="preserve"> </w:t>
      </w:r>
      <w:proofErr w:type="spellStart"/>
      <w:r w:rsidRPr="008B1498">
        <w:rPr>
          <w:rFonts w:ascii="Arial" w:eastAsia="Arial" w:hAnsi="Arial" w:cs="Arial"/>
          <w:sz w:val="24"/>
          <w:szCs w:val="24"/>
        </w:rPr>
        <w:t>opening</w:t>
      </w:r>
      <w:proofErr w:type="spellEnd"/>
      <w:r w:rsidRPr="008B1498">
        <w:rPr>
          <w:rFonts w:ascii="Arial" w:eastAsia="Arial" w:hAnsi="Arial" w:cs="Arial"/>
          <w:sz w:val="24"/>
          <w:szCs w:val="24"/>
        </w:rPr>
        <w:t xml:space="preserve"> </w:t>
      </w:r>
      <w:proofErr w:type="spellStart"/>
      <w:r w:rsidRPr="008B1498">
        <w:rPr>
          <w:rFonts w:ascii="Arial" w:eastAsia="Arial" w:hAnsi="Arial" w:cs="Arial"/>
          <w:sz w:val="24"/>
          <w:szCs w:val="24"/>
        </w:rPr>
        <w:t>browser</w:t>
      </w:r>
      <w:proofErr w:type="spellEnd"/>
      <w:r w:rsidRPr="008B1498">
        <w:rPr>
          <w:rFonts w:ascii="Arial" w:eastAsia="Arial" w:hAnsi="Arial" w:cs="Arial"/>
          <w:sz w:val="24"/>
          <w:szCs w:val="24"/>
        </w:rPr>
        <w:t xml:space="preserve"> </w:t>
      </w:r>
      <w:proofErr w:type="spellStart"/>
      <w:r w:rsidRPr="008B1498">
        <w:rPr>
          <w:rFonts w:ascii="Arial" w:eastAsia="Arial" w:hAnsi="Arial" w:cs="Arial"/>
          <w:sz w:val="24"/>
          <w:szCs w:val="24"/>
        </w:rPr>
        <w:t>tabs</w:t>
      </w:r>
      <w:proofErr w:type="spellEnd"/>
      <w:r w:rsidRPr="008B1498">
        <w:rPr>
          <w:rFonts w:ascii="Arial" w:eastAsia="Arial" w:hAnsi="Arial" w:cs="Arial"/>
          <w:sz w:val="24"/>
          <w:szCs w:val="24"/>
        </w:rPr>
        <w:t>;</w:t>
      </w:r>
    </w:p>
    <w:p w14:paraId="6381C394" w14:textId="51112F7B" w:rsidR="008B1498" w:rsidRPr="008B1498" w:rsidRDefault="008B1498" w:rsidP="008B1498">
      <w:pPr>
        <w:pStyle w:val="a3"/>
        <w:numPr>
          <w:ilvl w:val="0"/>
          <w:numId w:val="12"/>
        </w:numPr>
        <w:pBdr>
          <w:top w:val="nil"/>
          <w:left w:val="nil"/>
          <w:bottom w:val="nil"/>
          <w:right w:val="nil"/>
          <w:between w:val="nil"/>
        </w:pBdr>
        <w:spacing w:after="113" w:line="276" w:lineRule="auto"/>
        <w:jc w:val="both"/>
        <w:rPr>
          <w:rFonts w:ascii="Arial" w:eastAsia="Arial" w:hAnsi="Arial" w:cs="Arial"/>
          <w:sz w:val="24"/>
          <w:szCs w:val="24"/>
          <w:lang w:val="en-US"/>
        </w:rPr>
      </w:pPr>
      <w:r w:rsidRPr="008B1498">
        <w:rPr>
          <w:rFonts w:ascii="Arial" w:eastAsia="Arial" w:hAnsi="Arial" w:cs="Arial"/>
          <w:sz w:val="24"/>
          <w:szCs w:val="24"/>
          <w:lang w:val="en-US"/>
        </w:rPr>
        <w:t>Prohibit exiting full screen mode;</w:t>
      </w:r>
    </w:p>
    <w:p w14:paraId="2E188EDA" w14:textId="0202CDFC" w:rsidR="008B1498" w:rsidRPr="008B1498" w:rsidRDefault="008B1498" w:rsidP="008B1498">
      <w:pPr>
        <w:pStyle w:val="a3"/>
        <w:numPr>
          <w:ilvl w:val="0"/>
          <w:numId w:val="12"/>
        </w:numPr>
        <w:pBdr>
          <w:top w:val="nil"/>
          <w:left w:val="nil"/>
          <w:bottom w:val="nil"/>
          <w:right w:val="nil"/>
          <w:between w:val="nil"/>
        </w:pBdr>
        <w:spacing w:after="113" w:line="276" w:lineRule="auto"/>
        <w:jc w:val="both"/>
        <w:rPr>
          <w:rFonts w:ascii="Arial" w:eastAsia="Arial" w:hAnsi="Arial" w:cs="Arial"/>
          <w:sz w:val="24"/>
          <w:szCs w:val="24"/>
          <w:lang w:val="en-US"/>
        </w:rPr>
      </w:pPr>
      <w:r w:rsidRPr="008B1498">
        <w:rPr>
          <w:rFonts w:ascii="Arial" w:eastAsia="Arial" w:hAnsi="Arial" w:cs="Arial"/>
          <w:sz w:val="24"/>
          <w:szCs w:val="24"/>
          <w:lang w:val="en-US"/>
        </w:rPr>
        <w:t>Prohibit opening additional browser tabs.</w:t>
      </w:r>
    </w:p>
    <w:p w14:paraId="6BA7E20A" w14:textId="77777777" w:rsidR="00037213" w:rsidRPr="008B1498" w:rsidRDefault="00037213" w:rsidP="00037213">
      <w:pPr>
        <w:spacing w:after="113" w:line="276" w:lineRule="auto"/>
        <w:jc w:val="center"/>
        <w:rPr>
          <w:rFonts w:ascii="Arial" w:eastAsia="Arial" w:hAnsi="Arial" w:cs="Arial"/>
          <w:b/>
          <w:sz w:val="24"/>
          <w:szCs w:val="24"/>
          <w:lang w:val="en-US"/>
        </w:rPr>
      </w:pPr>
    </w:p>
    <w:p w14:paraId="22977C77" w14:textId="35BACAA9" w:rsidR="00037213" w:rsidRPr="00037213" w:rsidRDefault="00BF73C3" w:rsidP="00037213">
      <w:pPr>
        <w:spacing w:after="113" w:line="276" w:lineRule="auto"/>
        <w:jc w:val="center"/>
        <w:rPr>
          <w:rFonts w:ascii="Arial" w:eastAsia="Arial" w:hAnsi="Arial" w:cs="Arial"/>
          <w:sz w:val="24"/>
          <w:szCs w:val="24"/>
        </w:rPr>
      </w:pPr>
      <w:r>
        <w:rPr>
          <w:rFonts w:ascii="Arial" w:eastAsia="Arial" w:hAnsi="Arial" w:cs="Arial"/>
          <w:b/>
          <w:sz w:val="24"/>
          <w:szCs w:val="24"/>
          <w:lang w:val="en-US"/>
        </w:rPr>
        <w:t>Recommendations</w:t>
      </w:r>
      <w:r w:rsidR="00037213" w:rsidRPr="00037213">
        <w:rPr>
          <w:rFonts w:ascii="Arial" w:eastAsia="Arial" w:hAnsi="Arial" w:cs="Arial"/>
          <w:b/>
          <w:sz w:val="24"/>
          <w:szCs w:val="24"/>
        </w:rPr>
        <w:t xml:space="preserve">: </w:t>
      </w:r>
    </w:p>
    <w:p w14:paraId="288EAB30" w14:textId="6E4269EB" w:rsidR="00037213" w:rsidRPr="00BF73C3" w:rsidRDefault="00BF73C3" w:rsidP="00037213">
      <w:pPr>
        <w:numPr>
          <w:ilvl w:val="0"/>
          <w:numId w:val="9"/>
        </w:numPr>
        <w:pBdr>
          <w:top w:val="nil"/>
          <w:left w:val="nil"/>
          <w:bottom w:val="nil"/>
          <w:right w:val="nil"/>
          <w:between w:val="nil"/>
        </w:pBdr>
        <w:spacing w:after="0" w:line="276" w:lineRule="auto"/>
        <w:jc w:val="both"/>
        <w:rPr>
          <w:rFonts w:ascii="Arial" w:hAnsi="Arial" w:cs="Arial"/>
          <w:sz w:val="24"/>
          <w:szCs w:val="24"/>
          <w:lang w:val="en-US"/>
        </w:rPr>
      </w:pPr>
      <w:r w:rsidRPr="00BF73C3">
        <w:rPr>
          <w:rFonts w:ascii="Arial" w:eastAsia="Arial" w:hAnsi="Arial" w:cs="Arial"/>
          <w:sz w:val="24"/>
          <w:szCs w:val="24"/>
          <w:lang w:val="en-US"/>
        </w:rPr>
        <w:t>The League members or candidates must strive to meet the above criteria or be on a trajectory to achieve them, including the use of distance learning technologies.</w:t>
      </w:r>
    </w:p>
    <w:p w14:paraId="044A0EA2" w14:textId="22EBCC01" w:rsidR="00037213" w:rsidRPr="00BF73C3" w:rsidRDefault="00BF73C3" w:rsidP="00037213">
      <w:pPr>
        <w:numPr>
          <w:ilvl w:val="0"/>
          <w:numId w:val="9"/>
        </w:numPr>
        <w:pBdr>
          <w:top w:val="nil"/>
          <w:left w:val="nil"/>
          <w:bottom w:val="nil"/>
          <w:right w:val="nil"/>
          <w:between w:val="nil"/>
        </w:pBdr>
        <w:spacing w:after="0" w:line="276" w:lineRule="auto"/>
        <w:jc w:val="both"/>
        <w:rPr>
          <w:rFonts w:ascii="Arial" w:hAnsi="Arial" w:cs="Arial"/>
          <w:sz w:val="24"/>
          <w:szCs w:val="24"/>
          <w:lang w:val="en-US"/>
        </w:rPr>
      </w:pPr>
      <w:r w:rsidRPr="00BF73C3">
        <w:rPr>
          <w:rFonts w:ascii="Arial" w:eastAsia="Arial" w:hAnsi="Arial" w:cs="Arial"/>
          <w:sz w:val="24"/>
          <w:szCs w:val="24"/>
          <w:lang w:val="en-US"/>
        </w:rPr>
        <w:t>Compliance with the criteria of the League's credit technology standard shall be achieved by voluntary and selective submission to the League Council and the League Monitoring Team of requested materials and evidence of procedures for recommendations and decisions.</w:t>
      </w:r>
    </w:p>
    <w:p w14:paraId="28200730" w14:textId="6F08D908" w:rsidR="00037213" w:rsidRPr="00BF73C3" w:rsidRDefault="00BF73C3" w:rsidP="00037213">
      <w:pPr>
        <w:numPr>
          <w:ilvl w:val="0"/>
          <w:numId w:val="9"/>
        </w:numPr>
        <w:pBdr>
          <w:top w:val="nil"/>
          <w:left w:val="nil"/>
          <w:bottom w:val="nil"/>
          <w:right w:val="nil"/>
          <w:between w:val="nil"/>
        </w:pBdr>
        <w:spacing w:after="0" w:line="276" w:lineRule="auto"/>
        <w:jc w:val="both"/>
        <w:rPr>
          <w:rFonts w:ascii="Arial" w:hAnsi="Arial" w:cs="Arial"/>
          <w:sz w:val="24"/>
          <w:szCs w:val="24"/>
          <w:lang w:val="en-US"/>
        </w:rPr>
      </w:pPr>
      <w:r w:rsidRPr="00BF73C3">
        <w:rPr>
          <w:rFonts w:ascii="Arial" w:eastAsia="Arial" w:hAnsi="Arial" w:cs="Arial"/>
          <w:sz w:val="24"/>
          <w:szCs w:val="24"/>
          <w:lang w:val="en-US"/>
        </w:rPr>
        <w:t xml:space="preserve">League members or applicants for membership in the League shall voluntarily provide the League Council and the League Monitoring Team with materials such as anonymized </w:t>
      </w:r>
      <w:r>
        <w:rPr>
          <w:rFonts w:ascii="Arial" w:eastAsia="Arial" w:hAnsi="Arial" w:cs="Arial"/>
          <w:sz w:val="24"/>
          <w:szCs w:val="24"/>
          <w:lang w:val="en-US"/>
        </w:rPr>
        <w:t>factual data</w:t>
      </w:r>
      <w:r w:rsidRPr="00BF73C3">
        <w:rPr>
          <w:rFonts w:ascii="Arial" w:eastAsia="Arial" w:hAnsi="Arial" w:cs="Arial"/>
          <w:sz w:val="24"/>
          <w:szCs w:val="24"/>
          <w:lang w:val="en-US"/>
        </w:rPr>
        <w:t xml:space="preserve">, sample transcripts, </w:t>
      </w:r>
      <w:r>
        <w:rPr>
          <w:rFonts w:ascii="Arial" w:eastAsia="Arial" w:hAnsi="Arial" w:cs="Arial"/>
          <w:sz w:val="24"/>
          <w:szCs w:val="24"/>
          <w:lang w:val="en-US"/>
        </w:rPr>
        <w:t>curricula</w:t>
      </w:r>
      <w:r w:rsidRPr="00BF73C3">
        <w:rPr>
          <w:rFonts w:ascii="Arial" w:eastAsia="Arial" w:hAnsi="Arial" w:cs="Arial"/>
          <w:sz w:val="24"/>
          <w:szCs w:val="24"/>
          <w:lang w:val="en-US"/>
        </w:rPr>
        <w:t xml:space="preserve">, syllabi, electronic access to open documents </w:t>
      </w:r>
      <w:r>
        <w:rPr>
          <w:rFonts w:ascii="Arial" w:eastAsia="Arial" w:hAnsi="Arial" w:cs="Arial"/>
          <w:sz w:val="24"/>
          <w:szCs w:val="24"/>
          <w:lang w:val="en-US"/>
        </w:rPr>
        <w:t>regulating</w:t>
      </w:r>
      <w:r w:rsidRPr="00BF73C3">
        <w:rPr>
          <w:rFonts w:ascii="Arial" w:eastAsia="Arial" w:hAnsi="Arial" w:cs="Arial"/>
          <w:sz w:val="24"/>
          <w:szCs w:val="24"/>
          <w:lang w:val="en-US"/>
        </w:rPr>
        <w:t xml:space="preserve"> the academic activities of the</w:t>
      </w:r>
      <w:r>
        <w:rPr>
          <w:rFonts w:ascii="Arial" w:eastAsia="Arial" w:hAnsi="Arial" w:cs="Arial"/>
          <w:sz w:val="24"/>
          <w:szCs w:val="24"/>
          <w:lang w:val="en-US"/>
        </w:rPr>
        <w:t xml:space="preserve"> HPEI</w:t>
      </w:r>
      <w:r w:rsidRPr="00BF73C3">
        <w:rPr>
          <w:rFonts w:ascii="Arial" w:eastAsia="Arial" w:hAnsi="Arial" w:cs="Arial"/>
          <w:sz w:val="24"/>
          <w:szCs w:val="24"/>
          <w:lang w:val="en-US"/>
        </w:rPr>
        <w:t xml:space="preserve"> and other documents.</w:t>
      </w:r>
    </w:p>
    <w:p w14:paraId="6FC087F6" w14:textId="77777777" w:rsidR="00037213" w:rsidRPr="00BF73C3" w:rsidRDefault="00037213" w:rsidP="00BF73C3">
      <w:pPr>
        <w:pBdr>
          <w:top w:val="nil"/>
          <w:left w:val="nil"/>
          <w:bottom w:val="nil"/>
          <w:right w:val="nil"/>
          <w:between w:val="nil"/>
        </w:pBdr>
        <w:spacing w:after="0" w:line="276" w:lineRule="auto"/>
        <w:ind w:left="720" w:hanging="720"/>
        <w:jc w:val="both"/>
        <w:rPr>
          <w:rFonts w:ascii="Arial" w:hAnsi="Arial" w:cs="Arial"/>
          <w:sz w:val="24"/>
          <w:szCs w:val="24"/>
          <w:lang w:val="en-US"/>
        </w:rPr>
      </w:pPr>
      <w:r w:rsidRPr="00BF73C3">
        <w:rPr>
          <w:rFonts w:ascii="Arial" w:eastAsia="Arial" w:hAnsi="Arial" w:cs="Arial"/>
          <w:sz w:val="24"/>
          <w:szCs w:val="24"/>
          <w:lang w:val="en-US"/>
        </w:rPr>
        <w:t xml:space="preserve"> </w:t>
      </w:r>
    </w:p>
    <w:p w14:paraId="482CEC2A" w14:textId="77777777" w:rsidR="00037213" w:rsidRPr="00BF73C3" w:rsidRDefault="00037213" w:rsidP="00BF73C3">
      <w:pPr>
        <w:pBdr>
          <w:top w:val="nil"/>
          <w:left w:val="nil"/>
          <w:bottom w:val="nil"/>
          <w:right w:val="nil"/>
          <w:between w:val="nil"/>
        </w:pBdr>
        <w:spacing w:after="113" w:line="276" w:lineRule="auto"/>
        <w:ind w:left="720" w:hanging="720"/>
        <w:jc w:val="both"/>
        <w:rPr>
          <w:rFonts w:ascii="Arial" w:hAnsi="Arial" w:cs="Arial"/>
          <w:sz w:val="24"/>
          <w:szCs w:val="24"/>
          <w:lang w:val="en-US"/>
        </w:rPr>
      </w:pPr>
    </w:p>
    <w:p w14:paraId="7E6CF493" w14:textId="77777777" w:rsidR="00037213" w:rsidRPr="00BF73C3" w:rsidRDefault="00037213" w:rsidP="00037213">
      <w:pPr>
        <w:numPr>
          <w:ilvl w:val="0"/>
          <w:numId w:val="9"/>
        </w:numPr>
        <w:spacing w:after="113" w:line="276" w:lineRule="auto"/>
        <w:jc w:val="both"/>
        <w:rPr>
          <w:rFonts w:ascii="Arial" w:hAnsi="Arial" w:cs="Arial"/>
          <w:sz w:val="24"/>
          <w:szCs w:val="24"/>
          <w:lang w:val="en-US"/>
        </w:rPr>
      </w:pPr>
      <w:r w:rsidRPr="00BF73C3">
        <w:rPr>
          <w:rFonts w:ascii="Arial" w:hAnsi="Arial" w:cs="Arial"/>
          <w:sz w:val="24"/>
          <w:szCs w:val="24"/>
          <w:lang w:val="en-US"/>
        </w:rPr>
        <w:br w:type="page"/>
      </w:r>
    </w:p>
    <w:p w14:paraId="34EFAC21" w14:textId="666EB392" w:rsidR="00037213" w:rsidRPr="00922E3B" w:rsidRDefault="00922E3B" w:rsidP="00037213">
      <w:pPr>
        <w:spacing w:after="113" w:line="276" w:lineRule="auto"/>
        <w:jc w:val="center"/>
        <w:rPr>
          <w:rFonts w:ascii="Arial" w:hAnsi="Arial" w:cs="Arial"/>
          <w:sz w:val="24"/>
          <w:szCs w:val="24"/>
          <w:lang w:val="en-US"/>
        </w:rPr>
      </w:pPr>
      <w:r>
        <w:rPr>
          <w:rFonts w:ascii="Arial" w:eastAsia="Arial" w:hAnsi="Arial" w:cs="Arial"/>
          <w:b/>
          <w:sz w:val="24"/>
          <w:szCs w:val="24"/>
          <w:lang w:val="en-US"/>
        </w:rPr>
        <w:lastRenderedPageBreak/>
        <w:t>Bibliography</w:t>
      </w:r>
    </w:p>
    <w:p w14:paraId="69AB4A39" w14:textId="77777777" w:rsidR="00037213" w:rsidRPr="00037213" w:rsidRDefault="00037213" w:rsidP="00037213">
      <w:pPr>
        <w:numPr>
          <w:ilvl w:val="0"/>
          <w:numId w:val="1"/>
        </w:numPr>
        <w:spacing w:after="113" w:line="276" w:lineRule="auto"/>
        <w:jc w:val="both"/>
        <w:rPr>
          <w:rFonts w:ascii="Arial" w:eastAsia="Arial" w:hAnsi="Arial" w:cs="Arial"/>
          <w:color w:val="000000"/>
          <w:sz w:val="24"/>
          <w:szCs w:val="24"/>
          <w:lang w:val="en-US"/>
        </w:rPr>
      </w:pPr>
      <w:r w:rsidRPr="00037213">
        <w:rPr>
          <w:rFonts w:ascii="Arial" w:eastAsia="Arial" w:hAnsi="Arial" w:cs="Arial"/>
          <w:color w:val="000000"/>
          <w:sz w:val="24"/>
          <w:szCs w:val="24"/>
          <w:lang w:val="en-US"/>
        </w:rPr>
        <w:t xml:space="preserve">Standards and Guidelines for Quality Assurance in the European Higher Education Area </w:t>
      </w:r>
      <w:hyperlink r:id="rId7">
        <w:r w:rsidRPr="00037213">
          <w:rPr>
            <w:rFonts w:ascii="Arial" w:eastAsia="Arial" w:hAnsi="Arial" w:cs="Arial"/>
            <w:color w:val="000000"/>
            <w:sz w:val="24"/>
            <w:szCs w:val="24"/>
            <w:u w:val="single"/>
            <w:lang w:val="en-US"/>
          </w:rPr>
          <w:t>https://enqa.eu/wp-content/uploads/2015/11/ESG_2015.pdf</w:t>
        </w:r>
      </w:hyperlink>
      <w:r w:rsidRPr="00037213">
        <w:rPr>
          <w:rFonts w:ascii="Arial" w:eastAsia="Arial" w:hAnsi="Arial" w:cs="Arial"/>
          <w:color w:val="000000"/>
          <w:sz w:val="24"/>
          <w:szCs w:val="24"/>
          <w:lang w:val="en-US"/>
        </w:rPr>
        <w:t xml:space="preserve"> Accessed 27 February 2019</w:t>
      </w:r>
    </w:p>
    <w:p w14:paraId="6B4B5D8C" w14:textId="77777777" w:rsidR="00037213" w:rsidRPr="00037213" w:rsidRDefault="00037213" w:rsidP="00037213">
      <w:pPr>
        <w:numPr>
          <w:ilvl w:val="0"/>
          <w:numId w:val="1"/>
        </w:numPr>
        <w:spacing w:after="113" w:line="276" w:lineRule="auto"/>
        <w:jc w:val="both"/>
        <w:rPr>
          <w:rFonts w:ascii="Arial" w:eastAsia="Arial" w:hAnsi="Arial" w:cs="Arial"/>
          <w:color w:val="000000"/>
          <w:sz w:val="24"/>
          <w:szCs w:val="24"/>
          <w:lang w:val="en-US"/>
        </w:rPr>
      </w:pPr>
      <w:r w:rsidRPr="00037213">
        <w:rPr>
          <w:rFonts w:ascii="Arial" w:eastAsia="Arial" w:hAnsi="Arial" w:cs="Arial"/>
          <w:color w:val="000000"/>
          <w:sz w:val="24"/>
          <w:szCs w:val="24"/>
          <w:highlight w:val="white"/>
          <w:lang w:val="en-US"/>
        </w:rPr>
        <w:t>Statutes and Ordinances of the University of Cambridge</w:t>
      </w:r>
      <w:r w:rsidRPr="00037213">
        <w:rPr>
          <w:rFonts w:ascii="Arial" w:eastAsia="Arial" w:hAnsi="Arial" w:cs="Arial"/>
          <w:color w:val="000000"/>
          <w:sz w:val="24"/>
          <w:szCs w:val="24"/>
          <w:lang w:val="en-US"/>
        </w:rPr>
        <w:t xml:space="preserve"> </w:t>
      </w:r>
      <w:hyperlink r:id="rId8">
        <w:r w:rsidRPr="00037213">
          <w:rPr>
            <w:rFonts w:ascii="Arial" w:eastAsia="Arial" w:hAnsi="Arial" w:cs="Arial"/>
            <w:color w:val="000000"/>
            <w:sz w:val="24"/>
            <w:szCs w:val="24"/>
            <w:u w:val="single"/>
            <w:lang w:val="en-US"/>
          </w:rPr>
          <w:t>https://www.admin.cam.ac.uk/univ/so/2018/chapter02-section19.html</w:t>
        </w:r>
      </w:hyperlink>
      <w:r w:rsidRPr="00037213">
        <w:rPr>
          <w:rFonts w:ascii="Arial" w:eastAsia="Arial" w:hAnsi="Arial" w:cs="Arial"/>
          <w:color w:val="000000"/>
          <w:sz w:val="24"/>
          <w:szCs w:val="24"/>
          <w:lang w:val="en-US"/>
        </w:rPr>
        <w:t xml:space="preserve"> Accessed 28 February 2019</w:t>
      </w:r>
    </w:p>
    <w:p w14:paraId="4550B2D4" w14:textId="77777777" w:rsidR="00037213" w:rsidRPr="00037213" w:rsidRDefault="00037213" w:rsidP="00037213">
      <w:pPr>
        <w:numPr>
          <w:ilvl w:val="0"/>
          <w:numId w:val="1"/>
        </w:numPr>
        <w:spacing w:after="113" w:line="276" w:lineRule="auto"/>
        <w:jc w:val="both"/>
        <w:rPr>
          <w:rFonts w:ascii="Arial" w:eastAsia="Arial" w:hAnsi="Arial" w:cs="Arial"/>
          <w:color w:val="000000"/>
          <w:sz w:val="24"/>
          <w:szCs w:val="24"/>
        </w:rPr>
      </w:pPr>
      <w:r w:rsidRPr="00037213">
        <w:rPr>
          <w:rFonts w:ascii="Arial" w:eastAsia="Arial" w:hAnsi="Arial" w:cs="Arial"/>
          <w:color w:val="000000"/>
          <w:sz w:val="24"/>
          <w:szCs w:val="24"/>
          <w:highlight w:val="white"/>
          <w:lang w:val="en-US"/>
        </w:rPr>
        <w:t>Statutes and Ordinances of the University of Oxford</w:t>
      </w:r>
      <w:r w:rsidRPr="00037213">
        <w:rPr>
          <w:rFonts w:ascii="Arial" w:eastAsia="Arial" w:hAnsi="Arial" w:cs="Arial"/>
          <w:color w:val="000000"/>
          <w:sz w:val="24"/>
          <w:szCs w:val="24"/>
          <w:lang w:val="en-US"/>
        </w:rPr>
        <w:t xml:space="preserve">. </w:t>
      </w:r>
      <w:hyperlink r:id="rId9">
        <w:r w:rsidRPr="00037213">
          <w:rPr>
            <w:rFonts w:ascii="Arial" w:eastAsia="Arial" w:hAnsi="Arial" w:cs="Arial"/>
            <w:color w:val="000000"/>
            <w:sz w:val="24"/>
            <w:szCs w:val="24"/>
            <w:u w:val="single"/>
          </w:rPr>
          <w:t>http://www.admin.ox.ac.uk/statutes/</w:t>
        </w:r>
      </w:hyperlink>
      <w:r w:rsidRPr="00037213">
        <w:rPr>
          <w:rFonts w:ascii="Arial" w:eastAsia="Arial" w:hAnsi="Arial" w:cs="Arial"/>
          <w:color w:val="000000"/>
          <w:sz w:val="24"/>
          <w:szCs w:val="24"/>
        </w:rPr>
        <w:t xml:space="preserve"> </w:t>
      </w:r>
      <w:proofErr w:type="spellStart"/>
      <w:r w:rsidRPr="00037213">
        <w:rPr>
          <w:rFonts w:ascii="Arial" w:eastAsia="Arial" w:hAnsi="Arial" w:cs="Arial"/>
          <w:color w:val="000000"/>
          <w:sz w:val="24"/>
          <w:szCs w:val="24"/>
        </w:rPr>
        <w:t>Accessed</w:t>
      </w:r>
      <w:proofErr w:type="spellEnd"/>
      <w:r w:rsidRPr="00037213">
        <w:rPr>
          <w:rFonts w:ascii="Arial" w:eastAsia="Arial" w:hAnsi="Arial" w:cs="Arial"/>
          <w:color w:val="000000"/>
          <w:sz w:val="24"/>
          <w:szCs w:val="24"/>
        </w:rPr>
        <w:t xml:space="preserve"> 28 </w:t>
      </w:r>
      <w:proofErr w:type="spellStart"/>
      <w:r w:rsidRPr="00037213">
        <w:rPr>
          <w:rFonts w:ascii="Arial" w:eastAsia="Arial" w:hAnsi="Arial" w:cs="Arial"/>
          <w:color w:val="000000"/>
          <w:sz w:val="24"/>
          <w:szCs w:val="24"/>
        </w:rPr>
        <w:t>February</w:t>
      </w:r>
      <w:proofErr w:type="spellEnd"/>
      <w:r w:rsidRPr="00037213">
        <w:rPr>
          <w:rFonts w:ascii="Arial" w:eastAsia="Arial" w:hAnsi="Arial" w:cs="Arial"/>
          <w:color w:val="000000"/>
          <w:sz w:val="24"/>
          <w:szCs w:val="24"/>
        </w:rPr>
        <w:t xml:space="preserve"> 2019</w:t>
      </w:r>
    </w:p>
    <w:p w14:paraId="43E9494E" w14:textId="77777777" w:rsidR="00037213" w:rsidRPr="00037213" w:rsidRDefault="00037213" w:rsidP="00037213">
      <w:pPr>
        <w:numPr>
          <w:ilvl w:val="0"/>
          <w:numId w:val="1"/>
        </w:numPr>
        <w:spacing w:after="113" w:line="276" w:lineRule="auto"/>
        <w:jc w:val="both"/>
        <w:rPr>
          <w:rFonts w:ascii="Arial" w:eastAsia="Arial" w:hAnsi="Arial" w:cs="Arial"/>
          <w:color w:val="000000"/>
          <w:sz w:val="24"/>
          <w:szCs w:val="24"/>
          <w:lang w:val="en-US"/>
        </w:rPr>
      </w:pPr>
      <w:r w:rsidRPr="00037213">
        <w:rPr>
          <w:rFonts w:ascii="Arial" w:eastAsia="Arial" w:hAnsi="Arial" w:cs="Arial"/>
          <w:color w:val="000000"/>
          <w:sz w:val="24"/>
          <w:szCs w:val="24"/>
          <w:lang w:val="en-US"/>
        </w:rPr>
        <w:t xml:space="preserve">Student code of conduct of Nazarbayev University. </w:t>
      </w:r>
      <w:hyperlink r:id="rId10">
        <w:r w:rsidRPr="00037213">
          <w:rPr>
            <w:rFonts w:ascii="Arial" w:eastAsia="Arial" w:hAnsi="Arial" w:cs="Arial"/>
            <w:color w:val="000000"/>
            <w:sz w:val="24"/>
            <w:szCs w:val="24"/>
            <w:u w:val="single"/>
            <w:lang w:val="en-US"/>
          </w:rPr>
          <w:t>https://nu.edu.kz/wp-content/uploads/2017/11/NU-Student-Code-of-Conduct.pdf</w:t>
        </w:r>
      </w:hyperlink>
      <w:r w:rsidRPr="00037213">
        <w:rPr>
          <w:rFonts w:ascii="Arial" w:eastAsia="Arial" w:hAnsi="Arial" w:cs="Arial"/>
          <w:color w:val="000000"/>
          <w:sz w:val="24"/>
          <w:szCs w:val="24"/>
          <w:lang w:val="en-US"/>
        </w:rPr>
        <w:t xml:space="preserve"> Accessed 28 February 2019.</w:t>
      </w:r>
    </w:p>
    <w:p w14:paraId="67AE0A74" w14:textId="77777777" w:rsidR="00037213" w:rsidRPr="00037213" w:rsidRDefault="00F00DF5" w:rsidP="00037213">
      <w:pPr>
        <w:numPr>
          <w:ilvl w:val="0"/>
          <w:numId w:val="1"/>
        </w:numPr>
        <w:spacing w:after="113" w:line="276" w:lineRule="auto"/>
        <w:jc w:val="both"/>
        <w:rPr>
          <w:rFonts w:ascii="Arial" w:hAnsi="Arial" w:cs="Arial"/>
          <w:sz w:val="24"/>
          <w:szCs w:val="24"/>
        </w:rPr>
      </w:pPr>
      <w:hyperlink r:id="rId11">
        <w:r w:rsidR="00037213" w:rsidRPr="00037213">
          <w:rPr>
            <w:rFonts w:ascii="Arial" w:eastAsia="Arial" w:hAnsi="Arial" w:cs="Arial"/>
            <w:color w:val="000000"/>
            <w:sz w:val="24"/>
            <w:szCs w:val="24"/>
            <w:highlight w:val="white"/>
            <w:lang w:val="en-US"/>
          </w:rPr>
          <w:t>MIT Procedures for Dealing with Academic Misconduct and Dishonesty</w:t>
        </w:r>
      </w:hyperlink>
      <w:r w:rsidR="00037213" w:rsidRPr="00037213">
        <w:rPr>
          <w:rFonts w:ascii="Arial" w:eastAsia="Arial" w:hAnsi="Arial" w:cs="Arial"/>
          <w:color w:val="000000"/>
          <w:sz w:val="24"/>
          <w:szCs w:val="24"/>
          <w:lang w:val="en-US"/>
        </w:rPr>
        <w:t xml:space="preserve">. </w:t>
      </w:r>
      <w:hyperlink r:id="rId12">
        <w:r w:rsidR="00037213" w:rsidRPr="00037213">
          <w:rPr>
            <w:rFonts w:ascii="Arial" w:eastAsia="Arial" w:hAnsi="Arial" w:cs="Arial"/>
            <w:color w:val="000000"/>
            <w:sz w:val="24"/>
            <w:szCs w:val="24"/>
            <w:u w:val="single"/>
          </w:rPr>
          <w:t>https://policies.mit.edu/policies-procedures</w:t>
        </w:r>
      </w:hyperlink>
      <w:r w:rsidR="00037213" w:rsidRPr="00037213">
        <w:rPr>
          <w:rFonts w:ascii="Arial" w:eastAsia="Arial" w:hAnsi="Arial" w:cs="Arial"/>
          <w:color w:val="000000"/>
          <w:sz w:val="24"/>
          <w:szCs w:val="24"/>
        </w:rPr>
        <w:t xml:space="preserve"> </w:t>
      </w:r>
      <w:proofErr w:type="spellStart"/>
      <w:r w:rsidR="00037213" w:rsidRPr="00037213">
        <w:rPr>
          <w:rFonts w:ascii="Arial" w:eastAsia="Arial" w:hAnsi="Arial" w:cs="Arial"/>
          <w:color w:val="000000"/>
          <w:sz w:val="24"/>
          <w:szCs w:val="24"/>
        </w:rPr>
        <w:t>Accessed</w:t>
      </w:r>
      <w:proofErr w:type="spellEnd"/>
      <w:r w:rsidR="00037213" w:rsidRPr="00037213">
        <w:rPr>
          <w:rFonts w:ascii="Arial" w:eastAsia="Arial" w:hAnsi="Arial" w:cs="Arial"/>
          <w:color w:val="000000"/>
          <w:sz w:val="24"/>
          <w:szCs w:val="24"/>
        </w:rPr>
        <w:t xml:space="preserve"> 28 </w:t>
      </w:r>
      <w:proofErr w:type="spellStart"/>
      <w:r w:rsidR="00037213" w:rsidRPr="00037213">
        <w:rPr>
          <w:rFonts w:ascii="Arial" w:eastAsia="Arial" w:hAnsi="Arial" w:cs="Arial"/>
          <w:color w:val="000000"/>
          <w:sz w:val="24"/>
          <w:szCs w:val="24"/>
        </w:rPr>
        <w:t>February</w:t>
      </w:r>
      <w:proofErr w:type="spellEnd"/>
      <w:r w:rsidR="00037213" w:rsidRPr="00037213">
        <w:rPr>
          <w:rFonts w:ascii="Arial" w:eastAsia="Arial" w:hAnsi="Arial" w:cs="Arial"/>
          <w:color w:val="000000"/>
          <w:sz w:val="24"/>
          <w:szCs w:val="24"/>
        </w:rPr>
        <w:t xml:space="preserve"> 2019.</w:t>
      </w:r>
    </w:p>
    <w:p w14:paraId="1AD3EB2B" w14:textId="77777777" w:rsidR="00037213" w:rsidRPr="00037213" w:rsidRDefault="00037213" w:rsidP="00037213">
      <w:pPr>
        <w:spacing w:after="113" w:line="276" w:lineRule="auto"/>
        <w:rPr>
          <w:rFonts w:ascii="Arial" w:hAnsi="Arial" w:cs="Arial"/>
          <w:sz w:val="24"/>
          <w:szCs w:val="24"/>
        </w:rPr>
      </w:pPr>
      <w:bookmarkStart w:id="1" w:name="_gjdgxs" w:colFirst="0" w:colLast="0"/>
      <w:bookmarkEnd w:id="1"/>
    </w:p>
    <w:p w14:paraId="753301C8" w14:textId="77777777" w:rsidR="00D7440C" w:rsidRDefault="00D7440C"/>
    <w:sectPr w:rsidR="00D7440C">
      <w:headerReference w:type="default" r:id="rId13"/>
      <w:footerReference w:type="defaul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F4880" w14:textId="77777777" w:rsidR="00F00DF5" w:rsidRDefault="00F00DF5">
      <w:pPr>
        <w:spacing w:after="0" w:line="240" w:lineRule="auto"/>
      </w:pPr>
      <w:r>
        <w:separator/>
      </w:r>
    </w:p>
  </w:endnote>
  <w:endnote w:type="continuationSeparator" w:id="0">
    <w:p w14:paraId="685907DB" w14:textId="77777777" w:rsidR="00F00DF5" w:rsidRDefault="00F0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53E9" w14:textId="77777777" w:rsidR="003B5EEB" w:rsidRDefault="00F00DF5">
    <w:pPr>
      <w:widowControl w:val="0"/>
      <w:pBdr>
        <w:top w:val="nil"/>
        <w:left w:val="nil"/>
        <w:bottom w:val="nil"/>
        <w:right w:val="nil"/>
        <w:between w:val="nil"/>
      </w:pBdr>
      <w:spacing w:after="0" w:line="276" w:lineRule="auto"/>
      <w:rPr>
        <w:rFonts w:ascii="Arial" w:eastAsia="Arial" w:hAnsi="Arial" w:cs="Arial"/>
      </w:rPr>
    </w:pPr>
  </w:p>
  <w:tbl>
    <w:tblPr>
      <w:tblW w:w="9028" w:type="dxa"/>
      <w:tblLayout w:type="fixed"/>
      <w:tblLook w:val="0400" w:firstRow="0" w:lastRow="0" w:firstColumn="0" w:lastColumn="0" w:noHBand="0" w:noVBand="1"/>
    </w:tblPr>
    <w:tblGrid>
      <w:gridCol w:w="3009"/>
      <w:gridCol w:w="3009"/>
      <w:gridCol w:w="3010"/>
    </w:tblGrid>
    <w:tr w:rsidR="003B5EEB" w14:paraId="1A84F759" w14:textId="77777777">
      <w:tc>
        <w:tcPr>
          <w:tcW w:w="3009" w:type="dxa"/>
          <w:shd w:val="clear" w:color="auto" w:fill="auto"/>
        </w:tcPr>
        <w:p w14:paraId="2693C8DE" w14:textId="77777777" w:rsidR="003B5EEB" w:rsidRDefault="00F00DF5">
          <w:pPr>
            <w:pBdr>
              <w:top w:val="nil"/>
              <w:left w:val="nil"/>
              <w:bottom w:val="nil"/>
              <w:right w:val="nil"/>
              <w:between w:val="nil"/>
            </w:pBdr>
            <w:tabs>
              <w:tab w:val="center" w:pos="4680"/>
              <w:tab w:val="right" w:pos="9360"/>
            </w:tabs>
            <w:spacing w:after="0" w:line="240" w:lineRule="auto"/>
            <w:ind w:left="-115"/>
          </w:pPr>
        </w:p>
      </w:tc>
      <w:tc>
        <w:tcPr>
          <w:tcW w:w="3009" w:type="dxa"/>
          <w:shd w:val="clear" w:color="auto" w:fill="auto"/>
        </w:tcPr>
        <w:p w14:paraId="0E8DC178" w14:textId="77777777" w:rsidR="003B5EEB" w:rsidRDefault="00F00DF5">
          <w:pPr>
            <w:pBdr>
              <w:top w:val="nil"/>
              <w:left w:val="nil"/>
              <w:bottom w:val="nil"/>
              <w:right w:val="nil"/>
              <w:between w:val="nil"/>
            </w:pBdr>
            <w:tabs>
              <w:tab w:val="center" w:pos="4680"/>
              <w:tab w:val="right" w:pos="9360"/>
            </w:tabs>
            <w:spacing w:after="0" w:line="240" w:lineRule="auto"/>
            <w:jc w:val="center"/>
          </w:pPr>
        </w:p>
      </w:tc>
      <w:tc>
        <w:tcPr>
          <w:tcW w:w="3010" w:type="dxa"/>
          <w:shd w:val="clear" w:color="auto" w:fill="auto"/>
        </w:tcPr>
        <w:p w14:paraId="6F43E3BF" w14:textId="77777777" w:rsidR="003B5EEB" w:rsidRDefault="00F00DF5">
          <w:pPr>
            <w:pBdr>
              <w:top w:val="nil"/>
              <w:left w:val="nil"/>
              <w:bottom w:val="nil"/>
              <w:right w:val="nil"/>
              <w:between w:val="nil"/>
            </w:pBdr>
            <w:tabs>
              <w:tab w:val="center" w:pos="4680"/>
              <w:tab w:val="right" w:pos="9360"/>
            </w:tabs>
            <w:spacing w:after="0" w:line="240" w:lineRule="auto"/>
            <w:ind w:right="-115"/>
            <w:jc w:val="right"/>
          </w:pPr>
        </w:p>
      </w:tc>
    </w:tr>
  </w:tbl>
  <w:p w14:paraId="7A11C69A" w14:textId="77777777" w:rsidR="003B5EEB" w:rsidRDefault="00F00DF5">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335B9" w14:textId="77777777" w:rsidR="00F00DF5" w:rsidRDefault="00F00DF5">
      <w:pPr>
        <w:spacing w:after="0" w:line="240" w:lineRule="auto"/>
      </w:pPr>
      <w:r>
        <w:separator/>
      </w:r>
    </w:p>
  </w:footnote>
  <w:footnote w:type="continuationSeparator" w:id="0">
    <w:p w14:paraId="77E5C534" w14:textId="77777777" w:rsidR="00F00DF5" w:rsidRDefault="00F00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1A118" w14:textId="77777777" w:rsidR="003B5EEB" w:rsidRDefault="00F00DF5">
    <w:pPr>
      <w:widowControl w:val="0"/>
      <w:pBdr>
        <w:top w:val="nil"/>
        <w:left w:val="nil"/>
        <w:bottom w:val="nil"/>
        <w:right w:val="nil"/>
        <w:between w:val="nil"/>
      </w:pBdr>
      <w:spacing w:after="0" w:line="276" w:lineRule="auto"/>
    </w:pPr>
  </w:p>
  <w:tbl>
    <w:tblPr>
      <w:tblW w:w="9028" w:type="dxa"/>
      <w:tblLayout w:type="fixed"/>
      <w:tblLook w:val="0400" w:firstRow="0" w:lastRow="0" w:firstColumn="0" w:lastColumn="0" w:noHBand="0" w:noVBand="1"/>
    </w:tblPr>
    <w:tblGrid>
      <w:gridCol w:w="3009"/>
      <w:gridCol w:w="3009"/>
      <w:gridCol w:w="3010"/>
    </w:tblGrid>
    <w:tr w:rsidR="003B5EEB" w14:paraId="2C6CC9E9" w14:textId="77777777">
      <w:tc>
        <w:tcPr>
          <w:tcW w:w="3009" w:type="dxa"/>
          <w:shd w:val="clear" w:color="auto" w:fill="auto"/>
        </w:tcPr>
        <w:p w14:paraId="26BDF2B5" w14:textId="77777777" w:rsidR="003B5EEB" w:rsidRDefault="00F00DF5">
          <w:pPr>
            <w:pBdr>
              <w:top w:val="nil"/>
              <w:left w:val="nil"/>
              <w:bottom w:val="nil"/>
              <w:right w:val="nil"/>
              <w:between w:val="nil"/>
            </w:pBdr>
            <w:tabs>
              <w:tab w:val="center" w:pos="4680"/>
              <w:tab w:val="right" w:pos="9360"/>
            </w:tabs>
            <w:spacing w:after="0" w:line="240" w:lineRule="auto"/>
            <w:ind w:left="-115"/>
          </w:pPr>
        </w:p>
      </w:tc>
      <w:tc>
        <w:tcPr>
          <w:tcW w:w="3009" w:type="dxa"/>
          <w:shd w:val="clear" w:color="auto" w:fill="auto"/>
        </w:tcPr>
        <w:p w14:paraId="6014CD30" w14:textId="77777777" w:rsidR="003B5EEB" w:rsidRDefault="00F00DF5">
          <w:pPr>
            <w:pBdr>
              <w:top w:val="nil"/>
              <w:left w:val="nil"/>
              <w:bottom w:val="nil"/>
              <w:right w:val="nil"/>
              <w:between w:val="nil"/>
            </w:pBdr>
            <w:tabs>
              <w:tab w:val="center" w:pos="4680"/>
              <w:tab w:val="right" w:pos="9360"/>
            </w:tabs>
            <w:spacing w:after="0" w:line="240" w:lineRule="auto"/>
            <w:jc w:val="center"/>
          </w:pPr>
        </w:p>
      </w:tc>
      <w:tc>
        <w:tcPr>
          <w:tcW w:w="3010" w:type="dxa"/>
          <w:shd w:val="clear" w:color="auto" w:fill="auto"/>
        </w:tcPr>
        <w:p w14:paraId="19109690" w14:textId="77777777" w:rsidR="003B5EEB" w:rsidRDefault="00F00DF5">
          <w:pPr>
            <w:pBdr>
              <w:top w:val="nil"/>
              <w:left w:val="nil"/>
              <w:bottom w:val="nil"/>
              <w:right w:val="nil"/>
              <w:between w:val="nil"/>
            </w:pBdr>
            <w:tabs>
              <w:tab w:val="center" w:pos="4680"/>
              <w:tab w:val="right" w:pos="9360"/>
            </w:tabs>
            <w:spacing w:after="0" w:line="240" w:lineRule="auto"/>
            <w:ind w:right="-115"/>
            <w:jc w:val="right"/>
          </w:pPr>
        </w:p>
      </w:tc>
    </w:tr>
  </w:tbl>
  <w:p w14:paraId="648AC0F1" w14:textId="77777777" w:rsidR="003B5EEB" w:rsidRDefault="008F05A1" w:rsidP="002C74DF">
    <w:pPr>
      <w:pBdr>
        <w:top w:val="nil"/>
        <w:left w:val="nil"/>
        <w:bottom w:val="nil"/>
        <w:right w:val="nil"/>
        <w:between w:val="nil"/>
      </w:pBdr>
      <w:tabs>
        <w:tab w:val="center" w:pos="4680"/>
        <w:tab w:val="right" w:pos="9360"/>
      </w:tabs>
      <w:spacing w:after="0" w:line="240" w:lineRule="auto"/>
    </w:pPr>
    <w:r>
      <w:rPr>
        <w:noProof/>
      </w:rPr>
      <w:drawing>
        <wp:inline distT="0" distB="0" distL="0" distR="0" wp14:anchorId="041FD3EE" wp14:editId="54121040">
          <wp:extent cx="5731510" cy="973333"/>
          <wp:effectExtent l="0" t="0" r="254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510" cy="973333"/>
                  </a:xfrm>
                  <a:prstGeom prst="rect">
                    <a:avLst/>
                  </a:prstGeom>
                  <a:ln/>
                </pic:spPr>
              </pic:pic>
            </a:graphicData>
          </a:graphic>
        </wp:inline>
      </w:drawing>
    </w:r>
  </w:p>
  <w:p w14:paraId="3A18BA76" w14:textId="77777777" w:rsidR="003B5EEB" w:rsidRDefault="008F05A1">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C29A3"/>
    <w:multiLevelType w:val="multilevel"/>
    <w:tmpl w:val="02FCF92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882F86"/>
    <w:multiLevelType w:val="hybridMultilevel"/>
    <w:tmpl w:val="ACA6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15937"/>
    <w:multiLevelType w:val="multilevel"/>
    <w:tmpl w:val="B7C0CC06"/>
    <w:lvl w:ilvl="0">
      <w:start w:val="1"/>
      <w:numFmt w:val="lowerLetter"/>
      <w:lvlText w:val="%1."/>
      <w:lvlJc w:val="left"/>
      <w:pPr>
        <w:ind w:left="1800" w:hanging="360"/>
      </w:pPr>
      <w:rPr>
        <w:b/>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F4462C9"/>
    <w:multiLevelType w:val="multilevel"/>
    <w:tmpl w:val="1164A1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A1838DD"/>
    <w:multiLevelType w:val="multilevel"/>
    <w:tmpl w:val="4DB8F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384BF2"/>
    <w:multiLevelType w:val="multilevel"/>
    <w:tmpl w:val="764CDBF6"/>
    <w:lvl w:ilvl="0">
      <w:start w:val="1"/>
      <w:numFmt w:val="lowerLetter"/>
      <w:lvlText w:val="%1."/>
      <w:lvlJc w:val="left"/>
      <w:pPr>
        <w:ind w:left="2073" w:hanging="360"/>
      </w:pPr>
      <w:rPr>
        <w:b/>
        <w:sz w:val="24"/>
        <w:szCs w:val="24"/>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6" w15:restartNumberingAfterBreak="0">
    <w:nsid w:val="55137EBA"/>
    <w:multiLevelType w:val="multilevel"/>
    <w:tmpl w:val="F822BE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FCF47B8"/>
    <w:multiLevelType w:val="multilevel"/>
    <w:tmpl w:val="50AEAC9E"/>
    <w:lvl w:ilvl="0">
      <w:start w:val="1"/>
      <w:numFmt w:val="lowerLetter"/>
      <w:lvlText w:val="%1."/>
      <w:lvlJc w:val="left"/>
      <w:pPr>
        <w:ind w:left="1080" w:hanging="360"/>
      </w:pPr>
      <w:rPr>
        <w:b/>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29A0C03"/>
    <w:multiLevelType w:val="hybridMultilevel"/>
    <w:tmpl w:val="24567156"/>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9" w15:restartNumberingAfterBreak="0">
    <w:nsid w:val="640A25ED"/>
    <w:multiLevelType w:val="multilevel"/>
    <w:tmpl w:val="5DE6DC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4B17528"/>
    <w:multiLevelType w:val="multilevel"/>
    <w:tmpl w:val="B4BABDC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774A19BE"/>
    <w:multiLevelType w:val="multilevel"/>
    <w:tmpl w:val="905452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A560B6E"/>
    <w:multiLevelType w:val="multilevel"/>
    <w:tmpl w:val="4B0EBA10"/>
    <w:lvl w:ilvl="0">
      <w:start w:val="1"/>
      <w:numFmt w:val="lowerLetter"/>
      <w:lvlText w:val="%1."/>
      <w:lvlJc w:val="left"/>
      <w:pPr>
        <w:ind w:left="1800" w:hanging="360"/>
      </w:pPr>
      <w:rPr>
        <w:b/>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9"/>
  </w:num>
  <w:num w:numId="2">
    <w:abstractNumId w:val="7"/>
  </w:num>
  <w:num w:numId="3">
    <w:abstractNumId w:val="5"/>
  </w:num>
  <w:num w:numId="4">
    <w:abstractNumId w:val="12"/>
  </w:num>
  <w:num w:numId="5">
    <w:abstractNumId w:val="2"/>
  </w:num>
  <w:num w:numId="6">
    <w:abstractNumId w:val="3"/>
  </w:num>
  <w:num w:numId="7">
    <w:abstractNumId w:val="11"/>
  </w:num>
  <w:num w:numId="8">
    <w:abstractNumId w:val="10"/>
  </w:num>
  <w:num w:numId="9">
    <w:abstractNumId w:val="0"/>
  </w:num>
  <w:num w:numId="10">
    <w:abstractNumId w:val="4"/>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0C"/>
    <w:rsid w:val="00037213"/>
    <w:rsid w:val="00106F02"/>
    <w:rsid w:val="001B490D"/>
    <w:rsid w:val="003F01B3"/>
    <w:rsid w:val="005E3F72"/>
    <w:rsid w:val="00655C4E"/>
    <w:rsid w:val="00670717"/>
    <w:rsid w:val="006A3793"/>
    <w:rsid w:val="006E3116"/>
    <w:rsid w:val="007D1269"/>
    <w:rsid w:val="007D223F"/>
    <w:rsid w:val="00871829"/>
    <w:rsid w:val="008B1498"/>
    <w:rsid w:val="008F05A1"/>
    <w:rsid w:val="00922E3B"/>
    <w:rsid w:val="009356A9"/>
    <w:rsid w:val="009A7DAE"/>
    <w:rsid w:val="009E7253"/>
    <w:rsid w:val="00A95946"/>
    <w:rsid w:val="00B50EC3"/>
    <w:rsid w:val="00BF73C3"/>
    <w:rsid w:val="00D7256E"/>
    <w:rsid w:val="00D7440C"/>
    <w:rsid w:val="00D84FCD"/>
    <w:rsid w:val="00D9255E"/>
    <w:rsid w:val="00D94930"/>
    <w:rsid w:val="00E27274"/>
    <w:rsid w:val="00E31537"/>
    <w:rsid w:val="00F0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9F4C"/>
  <w15:chartTrackingRefBased/>
  <w15:docId w15:val="{6C8F3B8C-6F17-4A41-8411-7C5270AF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213"/>
    <w:rPr>
      <w:rFonts w:ascii="Calibri" w:eastAsia="Calibri" w:hAnsi="Calibri" w:cs="Calibri"/>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2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am.ac.uk/univ/so/2018/chapter02-section19.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qa.eu/wp-content/uploads/2015/11/ESG_2015.pdf" TargetMode="External"/><Relationship Id="rId12" Type="http://schemas.openxmlformats.org/officeDocument/2006/relationships/hyperlink" Target="https://policies.mit.edu/policies-procedu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mit.edu/policies/10/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u.edu.kz/wp-content/uploads/2017/11/NU-Student-Code-of-Conduct.pdf" TargetMode="External"/><Relationship Id="rId4" Type="http://schemas.openxmlformats.org/officeDocument/2006/relationships/webSettings" Target="webSettings.xml"/><Relationship Id="rId9" Type="http://schemas.openxmlformats.org/officeDocument/2006/relationships/hyperlink" Target="http://www.admin.ox.ac.uk/statu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1642</Words>
  <Characters>9364</Characters>
  <Application>Microsoft Office Word</Application>
  <DocSecurity>0</DocSecurity>
  <Lines>78</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 Воронков</dc:creator>
  <cp:keywords/>
  <dc:description/>
  <cp:lastModifiedBy>Мақсат Абайдуллаев</cp:lastModifiedBy>
  <cp:revision>19</cp:revision>
  <dcterms:created xsi:type="dcterms:W3CDTF">2020-10-05T05:41:00Z</dcterms:created>
  <dcterms:modified xsi:type="dcterms:W3CDTF">2023-07-25T03:59:00Z</dcterms:modified>
</cp:coreProperties>
</file>